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32BAF4A9" w14:textId="7BC065E9" w:rsidR="00F17074" w:rsidRPr="006739CB" w:rsidRDefault="00AC1256" w:rsidP="00394897">
      <w:pPr>
        <w:pStyle w:val="RTOWorksTitleRTOInfo"/>
      </w:pPr>
      <w:r w:rsidRPr="006739CB">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6739CB">
        <w:rPr>
          <w:noProof/>
        </w:rPr>
        <mc:AlternateContent>
          <mc:Choice Requires="wpg">
            <w:drawing>
              <wp:anchor distT="0" distB="0" distL="114300" distR="114300" simplePos="0" relativeHeight="251658243" behindDoc="0" locked="0" layoutInCell="1" allowOverlap="1" wp14:anchorId="3FB0B1DC" wp14:editId="2CDAA1C1">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C2D4D09" id="Group 6" o:spid="_x0000_s1026" style="position:absolute;margin-left:-177pt;margin-top:-319.1pt;width:931.15pt;height:1182.7pt;z-index:251658243;mso-width-relative:margin" coordsize="118256,15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o:spid="_x0000_s1027" style="position:absolute;left:2148;top:26849;width:24967;height:25474;rotation:-9774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fillcolor="#f2f2f2 [3052]" stroked="f" strokeweight="1pt">
                  <v:fill opacity="19789f"/>
                </v:rect>
                <v:rect id="Rectangle 40" o:spid="_x0000_s1028" style="position:absolute;left:20459;top:22399;width:12491;height:17325;rotation:8545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fillcolor="#f2f2f2 [3052]" stroked="f" strokeweight="1pt">
                  <v:fill opacity="25443f"/>
                </v:rect>
                <v:rect id="Rectangle 12" o:spid="_x0000_s1029" style="position:absolute;top:112048;width:24966;height:25474;rotation:14180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fillcolor="#f2f2f2 [3052]" stroked="f" strokeweight="1pt">
                  <v:fill opacity="19789f"/>
                </v:rect>
                <v:rect id="Rectangle 13" o:spid="_x0000_s1030" style="position:absolute;left:23637;top:120270;width:6344;height:5927;rotation:-5535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fillcolor="#f2f2f2 [3052]" stroked="f" strokeweight="1pt">
                  <v:fill opacity="28270f"/>
                </v:rect>
                <v:rect id="Rectangle 39" o:spid="_x0000_s1031" style="position:absolute;left:27485;top:45846;width:5357;height:5260;rotation:11807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fillcolor="#f2f2f2 [3052]" stroked="f" strokeweight="1pt">
                  <v:fill opacity="36751f"/>
                </v:rect>
                <v:rect id="Rectangle 46" o:spid="_x0000_s1032" style="position:absolute;left:79964;top:70595;width:38292;height:37127;rotation:-18389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fillcolor="#f2f2f2 [3052]" stroked="f" strokeweight="1pt">
                  <v:fill opacity="7967f"/>
                </v:rect>
                <v:rect id="Rectangle 1" o:spid="_x0000_s1033" style="position:absolute;left:53638;top:4210;width:35738;height:27317;rotation:-36321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filled="f" strokecolor="white [3212]" strokeweight="2.5pt"/>
                <v:rect id="Rectangle 2" o:spid="_x0000_s1034" style="position:absolute;left:14139;top:132185;width:16440;height:19596;rotation:410320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filled="f" strokecolor="white [3212]" strokeweight="2.5pt"/>
                <v:rect id="Rectangle 4" o:spid="_x0000_s1035" style="position:absolute;left:88132;top:64126;width:11126;height:14933;rotation:23601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filled="f" strokecolor="white [3212]" strokeweight="2.5pt"/>
              </v:group>
            </w:pict>
          </mc:Fallback>
        </mc:AlternateContent>
      </w:r>
    </w:p>
    <w:p w14:paraId="51DA2818" w14:textId="5788080D" w:rsidR="00CF22C2" w:rsidRPr="006739CB" w:rsidRDefault="004F797A" w:rsidP="008E51B8">
      <w:pPr>
        <w:sectPr w:rsidR="00CF22C2" w:rsidRPr="006739CB" w:rsidSect="009466C6">
          <w:type w:val="continuous"/>
          <w:pgSz w:w="11906" w:h="16838"/>
          <w:pgMar w:top="1701" w:right="1559" w:bottom="1701" w:left="1559" w:header="709" w:footer="709" w:gutter="0"/>
          <w:cols w:space="708"/>
          <w:titlePg/>
          <w:docGrid w:linePitch="360"/>
        </w:sectPr>
      </w:pPr>
      <w:r w:rsidRPr="006739CB">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3B2DD4BE" w:rsidR="008E51CF" w:rsidRPr="00CB550F" w:rsidRDefault="00AA11AB"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AA11AB">
                              <w:rPr>
                                <w:rFonts w:ascii="Arial" w:hAnsi="Arial" w:cs="Arial"/>
                                <w:color w:val="F2F2F2" w:themeColor="background1" w:themeShade="F2"/>
                                <w:spacing w:val="50"/>
                                <w:sz w:val="36"/>
                                <w:szCs w:val="36"/>
                              </w:rPr>
                              <w:t>FEES AND REFUNDS POLICY AND ASSOCIATED PROCEDURES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3B2DD4BE" w:rsidR="008E51CF" w:rsidRPr="00CB550F" w:rsidRDefault="00AA11AB"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AA11AB">
                        <w:rPr>
                          <w:rFonts w:ascii="Arial" w:hAnsi="Arial" w:cs="Arial"/>
                          <w:color w:val="F2F2F2" w:themeColor="background1" w:themeShade="F2"/>
                          <w:spacing w:val="50"/>
                          <w:sz w:val="36"/>
                          <w:szCs w:val="36"/>
                        </w:rPr>
                        <w:t>FEES AND REFUNDS POLICY AND ASSOCIATED PROCEDURES</w:t>
                      </w:r>
                    </w:p>
                  </w:txbxContent>
                </v:textbox>
                <w10:wrap type="square" anchorx="page"/>
              </v:shape>
            </w:pict>
          </mc:Fallback>
        </mc:AlternateContent>
      </w:r>
      <w:r w:rsidRPr="006739CB">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441940533"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Hlk35975055"/>
      <w:bookmarkEnd w:id="1"/>
    </w:p>
    <w:p w14:paraId="1C58CC31" w14:textId="0CC9D20B" w:rsidR="0069044F" w:rsidRDefault="0069044F" w:rsidP="004210A6">
      <w:pPr>
        <w:pStyle w:val="RTOWorksHeading2"/>
      </w:pPr>
      <w:bookmarkStart w:id="3" w:name="_Toc101414815"/>
      <w:bookmarkStart w:id="4" w:name="_Toc129587549"/>
      <w:bookmarkStart w:id="5" w:name="_Toc192508713"/>
      <w:bookmarkStart w:id="6" w:name="_Toc203050267"/>
      <w:bookmarkStart w:id="7" w:name="_Toc59276245"/>
      <w:bookmarkStart w:id="8" w:name="_Toc107501481"/>
      <w:bookmarkStart w:id="9" w:name="_Toc112751234"/>
      <w:bookmarkEnd w:id="0"/>
      <w:bookmarkEnd w:id="2"/>
      <w:r w:rsidRPr="006739CB">
        <w:lastRenderedPageBreak/>
        <w:t>Fees and Refunds Policy and Associated Procedures</w:t>
      </w:r>
      <w:bookmarkEnd w:id="3"/>
      <w:bookmarkEnd w:id="4"/>
      <w:bookmarkEnd w:id="5"/>
      <w:bookmarkEnd w:id="6"/>
    </w:p>
    <w:tbl>
      <w:tblPr>
        <w:tblStyle w:val="TableGrid"/>
        <w:tblW w:w="0" w:type="auto"/>
        <w:tblLook w:val="04A0" w:firstRow="1" w:lastRow="0" w:firstColumn="1" w:lastColumn="0" w:noHBand="0" w:noVBand="1"/>
      </w:tblPr>
      <w:tblGrid>
        <w:gridCol w:w="9060"/>
      </w:tblGrid>
      <w:tr w:rsidR="008165A3" w14:paraId="5C141DA2" w14:textId="77777777" w:rsidTr="00293570">
        <w:tc>
          <w:tcPr>
            <w:tcW w:w="9060" w:type="dxa"/>
            <w:tcBorders>
              <w:top w:val="nil"/>
              <w:left w:val="nil"/>
              <w:bottom w:val="nil"/>
              <w:right w:val="nil"/>
            </w:tcBorders>
            <w:shd w:val="clear" w:color="auto" w:fill="C2E3EC"/>
          </w:tcPr>
          <w:p w14:paraId="242FE294" w14:textId="64853F8F" w:rsidR="008165A3" w:rsidRPr="00AC4AC0" w:rsidRDefault="008165A3" w:rsidP="00293570">
            <w:pPr>
              <w:pStyle w:val="RTOWorksTableHeader"/>
            </w:pPr>
            <w:r w:rsidRPr="008165A3">
              <w:t>Purpose of the policy</w:t>
            </w:r>
          </w:p>
        </w:tc>
      </w:tr>
    </w:tbl>
    <w:p w14:paraId="4F8ADAF9" w14:textId="0F0160BE" w:rsidR="006477DA" w:rsidRPr="00944725" w:rsidRDefault="0069044F" w:rsidP="006477DA">
      <w:pPr>
        <w:pStyle w:val="RTOWorksBodyText"/>
      </w:pPr>
      <w:r w:rsidRPr="006739CB">
        <w:t xml:space="preserve">This policy and associated procedures outline </w:t>
      </w:r>
      <w:r w:rsidR="004F797A" w:rsidRPr="00944725">
        <w:t>National Institute of Science</w:t>
      </w:r>
      <w:r w:rsidR="00E76043" w:rsidRPr="00944725">
        <w:t>’s</w:t>
      </w:r>
      <w:r w:rsidRPr="00944725">
        <w:t xml:space="preserve"> </w:t>
      </w:r>
      <w:r w:rsidR="006477DA" w:rsidRPr="00944725">
        <w:t>approach to the effective and fair management of fees</w:t>
      </w:r>
      <w:r w:rsidR="005C0C5E" w:rsidRPr="00944725">
        <w:t xml:space="preserve"> </w:t>
      </w:r>
      <w:r w:rsidR="006477DA" w:rsidRPr="00944725">
        <w:t xml:space="preserve">and refunds. This ensures that support is provided to students to assist them to complete their studies. </w:t>
      </w:r>
    </w:p>
    <w:p w14:paraId="345A4A09" w14:textId="2B479672" w:rsidR="0069044F" w:rsidRPr="006739CB" w:rsidRDefault="006477DA" w:rsidP="006477DA">
      <w:pPr>
        <w:pStyle w:val="RTOWorksBodyText"/>
      </w:pPr>
      <w:r w:rsidRPr="00944725">
        <w:t xml:space="preserve">This policy and associated procedures </w:t>
      </w:r>
      <w:r w:rsidR="008F7488" w:rsidRPr="00944725">
        <w:t>the requirements of Standards 2.</w:t>
      </w:r>
      <w:r w:rsidR="00AB3CF5" w:rsidRPr="00944725">
        <w:t>1</w:t>
      </w:r>
      <w:r w:rsidR="008F7488" w:rsidRPr="00944725">
        <w:t xml:space="preserve"> of the </w:t>
      </w:r>
      <w:r w:rsidR="00997A54" w:rsidRPr="00944725">
        <w:t>Outcome Standards for RTOs</w:t>
      </w:r>
      <w:r w:rsidR="008F7488" w:rsidRPr="00944725">
        <w:t xml:space="preserve"> and </w:t>
      </w:r>
      <w:r w:rsidR="00BB3063" w:rsidRPr="00944725">
        <w:t xml:space="preserve">marketing and </w:t>
      </w:r>
      <w:r w:rsidR="00114F69" w:rsidRPr="00944725">
        <w:t>advertising</w:t>
      </w:r>
      <w:r w:rsidR="008F7488" w:rsidRPr="00944725">
        <w:t xml:space="preserve"> requirements</w:t>
      </w:r>
      <w:r w:rsidR="00114F69" w:rsidRPr="00944725">
        <w:t xml:space="preserve">, </w:t>
      </w:r>
      <w:r w:rsidR="00556777" w:rsidRPr="00944725">
        <w:t>AQF certification documentation</w:t>
      </w:r>
      <w:r w:rsidR="00C0548C" w:rsidRPr="00944725">
        <w:t xml:space="preserve"> and prepaid fee protection measures</w:t>
      </w:r>
      <w:r w:rsidR="00556777" w:rsidRPr="00944725">
        <w:t xml:space="preserve"> in</w:t>
      </w:r>
      <w:r w:rsidR="008F7488" w:rsidRPr="00944725">
        <w:t xml:space="preserve"> Compliance Requirements, as well as </w:t>
      </w:r>
      <w:r w:rsidRPr="00944725">
        <w:t>Standards 2 and 3 of the National Code of Practice for Providers of Education and Training to Overseas Students 2018</w:t>
      </w:r>
      <w:r w:rsidRPr="00D73475">
        <w:t xml:space="preserve">, as well as the ESOS Act 2000 and the ESOS (Calculation of Refund) </w:t>
      </w:r>
      <w:r w:rsidR="007F4A5B" w:rsidRPr="00D73475">
        <w:t>Instrument</w:t>
      </w:r>
      <w:r w:rsidRPr="00D73475">
        <w:t xml:space="preserve"> 20</w:t>
      </w:r>
      <w:r w:rsidR="007F4A5B" w:rsidRPr="00D73475">
        <w:t>2</w:t>
      </w:r>
      <w:r w:rsidRPr="00D73475">
        <w:t>4.</w:t>
      </w:r>
    </w:p>
    <w:p w14:paraId="06D71B55" w14:textId="27960E23" w:rsidR="0069044F" w:rsidRDefault="0069044F" w:rsidP="00E9333A">
      <w:pPr>
        <w:pStyle w:val="RTOWorksHeading3"/>
      </w:pPr>
      <w:r w:rsidRPr="006739CB">
        <w:t>Policy statements</w:t>
      </w:r>
    </w:p>
    <w:tbl>
      <w:tblPr>
        <w:tblStyle w:val="TableGrid"/>
        <w:tblW w:w="0" w:type="auto"/>
        <w:tblLook w:val="04A0" w:firstRow="1" w:lastRow="0" w:firstColumn="1" w:lastColumn="0" w:noHBand="0" w:noVBand="1"/>
      </w:tblPr>
      <w:tblGrid>
        <w:gridCol w:w="9060"/>
      </w:tblGrid>
      <w:tr w:rsidR="008165A3" w14:paraId="690E6EB2" w14:textId="77777777" w:rsidTr="00293570">
        <w:tc>
          <w:tcPr>
            <w:tcW w:w="9060" w:type="dxa"/>
            <w:tcBorders>
              <w:top w:val="nil"/>
              <w:left w:val="nil"/>
              <w:bottom w:val="nil"/>
              <w:right w:val="nil"/>
            </w:tcBorders>
            <w:shd w:val="clear" w:color="auto" w:fill="C2E3EC"/>
          </w:tcPr>
          <w:p w14:paraId="4A7E4449" w14:textId="6C8429B8" w:rsidR="008165A3" w:rsidRPr="00AC4AC0" w:rsidRDefault="008165A3" w:rsidP="00293570">
            <w:pPr>
              <w:pStyle w:val="RTOWorksTableHeader"/>
            </w:pPr>
            <w:r w:rsidRPr="008165A3">
              <w:t xml:space="preserve">Information about fees </w:t>
            </w:r>
          </w:p>
        </w:tc>
      </w:tr>
    </w:tbl>
    <w:p w14:paraId="7E05BE25" w14:textId="03D3222E" w:rsidR="00975520" w:rsidRPr="00944725" w:rsidRDefault="004F797A" w:rsidP="00975520">
      <w:pPr>
        <w:pStyle w:val="RTOWorksBodyText"/>
      </w:pPr>
      <w:r w:rsidRPr="00944725">
        <w:t>National Institute of Science</w:t>
      </w:r>
      <w:r w:rsidR="0069044F" w:rsidRPr="00944725">
        <w:t xml:space="preserve"> </w:t>
      </w:r>
      <w:r w:rsidR="00975520" w:rsidRPr="00944725">
        <w:t>is committed to providing students with information about all fees associated with a course, as well as its refund policy and processes.</w:t>
      </w:r>
    </w:p>
    <w:p w14:paraId="3D5C9923" w14:textId="57EA3F2F" w:rsidR="00975520" w:rsidRPr="00944725" w:rsidRDefault="00975520" w:rsidP="00975520">
      <w:pPr>
        <w:pStyle w:val="RTOWorksBodyText"/>
      </w:pPr>
      <w:r w:rsidRPr="00944725">
        <w:t>Prospective students can access information about fees and refunds in the International Student Handbook and Course Brochure.</w:t>
      </w:r>
    </w:p>
    <w:p w14:paraId="246BABC2" w14:textId="5086E56F" w:rsidR="00975520" w:rsidRPr="00944725" w:rsidRDefault="00975520" w:rsidP="00975520">
      <w:pPr>
        <w:pStyle w:val="RTOWorksBodyText"/>
      </w:pPr>
      <w:r w:rsidRPr="00944725">
        <w:t xml:space="preserve">Enrolling students are fully informed of all fees and the refund policy in the Offer Letter and Student Agreement. </w:t>
      </w:r>
    </w:p>
    <w:p w14:paraId="51A8F55C" w14:textId="3B2C7754" w:rsidR="00975520" w:rsidRDefault="00975520" w:rsidP="00975520">
      <w:pPr>
        <w:pStyle w:val="RTOWorksBodyText"/>
      </w:pPr>
      <w:r w:rsidRPr="00944725">
        <w:t>The Offer Letter and Student Agreem</w:t>
      </w:r>
      <w:r>
        <w:t xml:space="preserve">ent </w:t>
      </w:r>
      <w:proofErr w:type="gramStart"/>
      <w:r>
        <w:t>includes</w:t>
      </w:r>
      <w:proofErr w:type="gramEnd"/>
      <w:r>
        <w:t xml:space="preserve"> details of all applicable fees, including the application fee, tuition and non-tuition fees and the payment schedule for such and payment options. It also describes the student’s consumer rights, including the right to a cooling off period depending on the relevant state/territory requirements.</w:t>
      </w:r>
    </w:p>
    <w:p w14:paraId="59D9B9FD" w14:textId="6FF9D200" w:rsidR="00975520" w:rsidRDefault="00975520" w:rsidP="00975520">
      <w:pPr>
        <w:pStyle w:val="RTOWorksBodyText"/>
      </w:pPr>
      <w:r>
        <w:t xml:space="preserve">Students are advised of the potential for fees to change over the duration of their course.  </w:t>
      </w:r>
    </w:p>
    <w:p w14:paraId="10C10A83" w14:textId="77777777" w:rsidR="00975520" w:rsidRDefault="00975520" w:rsidP="00975520">
      <w:pPr>
        <w:pStyle w:val="RTOWorksBodyText"/>
      </w:pPr>
      <w:r>
        <w:t xml:space="preserve">Students are advised of any statutory cooling off period in their Offer Letter and Student Agreement. </w:t>
      </w:r>
    </w:p>
    <w:p w14:paraId="58BCF0C5" w14:textId="4C7A720C" w:rsidR="00975520" w:rsidRDefault="00975520" w:rsidP="00975520">
      <w:pPr>
        <w:pStyle w:val="RTOWorksBodyText"/>
      </w:pPr>
      <w:r>
        <w:t xml:space="preserve">All fees will be reviewed </w:t>
      </w:r>
      <w:r w:rsidR="00A02851">
        <w:t>annually,</w:t>
      </w:r>
      <w:r>
        <w:t xml:space="preserve"> and all marketing material and student information will be updated accordingly. New fees will generally only apply to incoming students. </w:t>
      </w:r>
    </w:p>
    <w:p w14:paraId="162A62D5" w14:textId="636DA3B6" w:rsidR="0069044F" w:rsidRDefault="00975520" w:rsidP="00975520">
      <w:pPr>
        <w:pStyle w:val="RTOWorksBodyText"/>
        <w:spacing w:after="240"/>
        <w:rPr>
          <w:szCs w:val="18"/>
        </w:rPr>
      </w:pPr>
      <w:r>
        <w:t>Additional fees that may apply in addition to tuition and non-tuition fees include:</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530"/>
        <w:gridCol w:w="4530"/>
      </w:tblGrid>
      <w:tr w:rsidR="006E7269" w14:paraId="43CD9C8D" w14:textId="77777777" w:rsidTr="00F53EAB">
        <w:trPr>
          <w:tblHeader/>
        </w:trPr>
        <w:tc>
          <w:tcPr>
            <w:tcW w:w="4530" w:type="dxa"/>
            <w:shd w:val="clear" w:color="auto" w:fill="DFF0F5"/>
          </w:tcPr>
          <w:p w14:paraId="330558A8" w14:textId="3A0F610F" w:rsidR="006E7269" w:rsidRPr="009A051E" w:rsidRDefault="006E7269" w:rsidP="009A051E">
            <w:pPr>
              <w:pStyle w:val="RTOWorksTableHeader"/>
              <w:rPr>
                <w:szCs w:val="18"/>
              </w:rPr>
            </w:pPr>
            <w:r w:rsidRPr="009A051E">
              <w:t>Additional fees that may apply</w:t>
            </w:r>
          </w:p>
        </w:tc>
        <w:tc>
          <w:tcPr>
            <w:tcW w:w="4530" w:type="dxa"/>
            <w:shd w:val="clear" w:color="auto" w:fill="DFF0F5"/>
          </w:tcPr>
          <w:p w14:paraId="6F26EFE2" w14:textId="7B0B3D8F" w:rsidR="006E7269" w:rsidRPr="009A051E" w:rsidRDefault="006E7269" w:rsidP="009A051E">
            <w:pPr>
              <w:pStyle w:val="RTOWorksTableHeader"/>
              <w:rPr>
                <w:szCs w:val="18"/>
              </w:rPr>
            </w:pPr>
            <w:r w:rsidRPr="009A051E">
              <w:t>Amount</w:t>
            </w:r>
          </w:p>
        </w:tc>
      </w:tr>
      <w:tr w:rsidR="006E7269" w14:paraId="71FAADBC" w14:textId="77777777" w:rsidTr="00F53EAB">
        <w:trPr>
          <w:trHeight w:val="276"/>
        </w:trPr>
        <w:tc>
          <w:tcPr>
            <w:tcW w:w="4530" w:type="dxa"/>
          </w:tcPr>
          <w:p w14:paraId="41FB92FB" w14:textId="79459CB1" w:rsidR="006E7269" w:rsidRPr="00F53EAB" w:rsidRDefault="006E7269" w:rsidP="00F53EAB">
            <w:pPr>
              <w:pStyle w:val="RTOWorksBodyText"/>
            </w:pPr>
            <w:r w:rsidRPr="00F53EAB">
              <w:t>Deferral fee</w:t>
            </w:r>
          </w:p>
        </w:tc>
        <w:tc>
          <w:tcPr>
            <w:tcW w:w="4530" w:type="dxa"/>
          </w:tcPr>
          <w:p w14:paraId="6B428524" w14:textId="7E993B57" w:rsidR="006E7269" w:rsidRPr="00F53EAB" w:rsidRDefault="006E7269" w:rsidP="00F53EAB">
            <w:pPr>
              <w:pStyle w:val="RTOWorksBodyText"/>
            </w:pPr>
            <w:r w:rsidRPr="00F53EAB">
              <w:t xml:space="preserve">Nil  </w:t>
            </w:r>
          </w:p>
        </w:tc>
      </w:tr>
      <w:tr w:rsidR="006E7269" w14:paraId="40CACA55" w14:textId="77777777" w:rsidTr="009A051E">
        <w:tc>
          <w:tcPr>
            <w:tcW w:w="4530" w:type="dxa"/>
          </w:tcPr>
          <w:p w14:paraId="10256D93" w14:textId="76F96181" w:rsidR="006E7269" w:rsidRPr="00F53EAB" w:rsidRDefault="006E7269" w:rsidP="00F53EAB">
            <w:pPr>
              <w:pStyle w:val="RTOWorksBodyText"/>
            </w:pPr>
            <w:r w:rsidRPr="00F53EAB">
              <w:t>Reassessment fee (students have a total of 2 attempts and any attempt thereafter will incur the stated fee)</w:t>
            </w:r>
          </w:p>
        </w:tc>
        <w:tc>
          <w:tcPr>
            <w:tcW w:w="4530" w:type="dxa"/>
          </w:tcPr>
          <w:p w14:paraId="06E95767" w14:textId="5E1D2034" w:rsidR="006E7269" w:rsidRPr="00F53EAB" w:rsidRDefault="006E7269" w:rsidP="00F53EAB">
            <w:pPr>
              <w:pStyle w:val="RTOWorksBodyText"/>
            </w:pPr>
            <w:r w:rsidRPr="00F53EAB">
              <w:t xml:space="preserve">$100 </w:t>
            </w:r>
          </w:p>
        </w:tc>
      </w:tr>
      <w:tr w:rsidR="006E7269" w14:paraId="6577507A" w14:textId="77777777" w:rsidTr="009A051E">
        <w:tc>
          <w:tcPr>
            <w:tcW w:w="4530" w:type="dxa"/>
          </w:tcPr>
          <w:p w14:paraId="61B8DABB" w14:textId="34E21497" w:rsidR="006E7269" w:rsidRPr="00F53EAB" w:rsidRDefault="006E7269" w:rsidP="00F53EAB">
            <w:pPr>
              <w:pStyle w:val="RTOWorksBodyText"/>
            </w:pPr>
            <w:r w:rsidRPr="00F53EAB">
              <w:t>Fees for late payment of course fees</w:t>
            </w:r>
          </w:p>
        </w:tc>
        <w:tc>
          <w:tcPr>
            <w:tcW w:w="4530" w:type="dxa"/>
          </w:tcPr>
          <w:p w14:paraId="0BAC20E9" w14:textId="100470F7" w:rsidR="006E7269" w:rsidRPr="00F53EAB" w:rsidRDefault="006E7269" w:rsidP="00F53EAB">
            <w:pPr>
              <w:pStyle w:val="RTOWorksBodyText"/>
            </w:pPr>
            <w:r w:rsidRPr="00F53EAB">
              <w:t>$100 per week for each week the payment for course fees is delayed</w:t>
            </w:r>
          </w:p>
        </w:tc>
      </w:tr>
      <w:tr w:rsidR="006E7269" w14:paraId="404F43C8" w14:textId="77777777" w:rsidTr="009A051E">
        <w:tc>
          <w:tcPr>
            <w:tcW w:w="4530" w:type="dxa"/>
          </w:tcPr>
          <w:p w14:paraId="499F6BE2" w14:textId="7450AA91" w:rsidR="006E7269" w:rsidRPr="00F53EAB" w:rsidRDefault="006E7269" w:rsidP="00F53EAB">
            <w:pPr>
              <w:pStyle w:val="RTOWorksBodyText"/>
            </w:pPr>
            <w:r w:rsidRPr="00F53EAB">
              <w:t>Credit transfer</w:t>
            </w:r>
          </w:p>
        </w:tc>
        <w:tc>
          <w:tcPr>
            <w:tcW w:w="4530" w:type="dxa"/>
          </w:tcPr>
          <w:p w14:paraId="03FA9C6A" w14:textId="494BD8FA" w:rsidR="006E7269" w:rsidRPr="00F53EAB" w:rsidRDefault="006E7269" w:rsidP="00F53EAB">
            <w:pPr>
              <w:pStyle w:val="RTOWorksBodyText"/>
            </w:pPr>
            <w:r w:rsidRPr="00F53EAB">
              <w:t>Nil</w:t>
            </w:r>
          </w:p>
        </w:tc>
      </w:tr>
      <w:tr w:rsidR="006E7269" w14:paraId="02209DA8" w14:textId="77777777" w:rsidTr="009A051E">
        <w:tc>
          <w:tcPr>
            <w:tcW w:w="4530" w:type="dxa"/>
          </w:tcPr>
          <w:p w14:paraId="38E808A6" w14:textId="5014816C" w:rsidR="006E7269" w:rsidRPr="00F53EAB" w:rsidRDefault="006E7269" w:rsidP="00F53EAB">
            <w:pPr>
              <w:pStyle w:val="RTOWorksBodyText"/>
            </w:pPr>
            <w:r w:rsidRPr="00F53EAB">
              <w:t>RPL</w:t>
            </w:r>
          </w:p>
        </w:tc>
        <w:tc>
          <w:tcPr>
            <w:tcW w:w="4530" w:type="dxa"/>
          </w:tcPr>
          <w:p w14:paraId="24F0687C" w14:textId="77777777" w:rsidR="006E7269" w:rsidRPr="00F53EAB" w:rsidRDefault="006E7269" w:rsidP="00F53EAB">
            <w:pPr>
              <w:pStyle w:val="RTOWorksBodyText"/>
            </w:pPr>
            <w:r w:rsidRPr="00F53EAB">
              <w:t xml:space="preserve">Application fee of $250 </w:t>
            </w:r>
          </w:p>
          <w:p w14:paraId="38A08BD1" w14:textId="35E52DE5" w:rsidR="006E7269" w:rsidRPr="00F53EAB" w:rsidRDefault="006E7269" w:rsidP="00F53EAB">
            <w:pPr>
              <w:pStyle w:val="RTOWorksBodyText"/>
            </w:pPr>
            <w:r w:rsidRPr="00F53EAB">
              <w:t xml:space="preserve">Unit fee $500 </w:t>
            </w:r>
          </w:p>
        </w:tc>
      </w:tr>
      <w:tr w:rsidR="00821858" w14:paraId="7C1B60E2" w14:textId="77777777" w:rsidTr="009A051E">
        <w:tc>
          <w:tcPr>
            <w:tcW w:w="4530" w:type="dxa"/>
          </w:tcPr>
          <w:p w14:paraId="28D70C27" w14:textId="752B638F" w:rsidR="00821858" w:rsidRPr="00A643D2" w:rsidRDefault="00821858" w:rsidP="00F53EAB">
            <w:pPr>
              <w:pStyle w:val="RTOWorksBodyText"/>
            </w:pPr>
            <w:r w:rsidRPr="00A643D2">
              <w:t xml:space="preserve">Re-issuance of </w:t>
            </w:r>
            <w:r w:rsidR="00BA47A9" w:rsidRPr="00A643D2">
              <w:t>certificate</w:t>
            </w:r>
          </w:p>
        </w:tc>
        <w:tc>
          <w:tcPr>
            <w:tcW w:w="4530" w:type="dxa"/>
          </w:tcPr>
          <w:p w14:paraId="5CF9F43B" w14:textId="0641380A" w:rsidR="00821858" w:rsidRPr="00A643D2" w:rsidRDefault="00BA47A9" w:rsidP="00F53EAB">
            <w:pPr>
              <w:pStyle w:val="RTOWorksBodyText"/>
            </w:pPr>
            <w:r w:rsidRPr="00A643D2">
              <w:t>$100</w:t>
            </w:r>
          </w:p>
        </w:tc>
      </w:tr>
    </w:tbl>
    <w:p w14:paraId="2CC3D36B" w14:textId="1EA4AA74" w:rsidR="0017795F" w:rsidRDefault="0017795F" w:rsidP="00A643D2">
      <w:pPr>
        <w:pStyle w:val="RTOWorksBodyText"/>
      </w:pPr>
    </w:p>
    <w:tbl>
      <w:tblPr>
        <w:tblStyle w:val="TableGrid"/>
        <w:tblW w:w="0" w:type="auto"/>
        <w:tblLook w:val="04A0" w:firstRow="1" w:lastRow="0" w:firstColumn="1" w:lastColumn="0" w:noHBand="0" w:noVBand="1"/>
      </w:tblPr>
      <w:tblGrid>
        <w:gridCol w:w="9060"/>
      </w:tblGrid>
      <w:tr w:rsidR="0017795F" w14:paraId="3F31BCAA" w14:textId="77777777" w:rsidTr="00293570">
        <w:tc>
          <w:tcPr>
            <w:tcW w:w="9060" w:type="dxa"/>
            <w:tcBorders>
              <w:top w:val="nil"/>
              <w:left w:val="nil"/>
              <w:bottom w:val="nil"/>
              <w:right w:val="nil"/>
            </w:tcBorders>
            <w:shd w:val="clear" w:color="auto" w:fill="C2E3EC"/>
          </w:tcPr>
          <w:p w14:paraId="67A1A487" w14:textId="6494226F" w:rsidR="0017795F" w:rsidRPr="00AC4AC0" w:rsidRDefault="00067196" w:rsidP="00293570">
            <w:pPr>
              <w:pStyle w:val="RTOWorksTableHeader"/>
            </w:pPr>
            <w:r w:rsidRPr="00067196">
              <w:t>Fee protection</w:t>
            </w:r>
          </w:p>
        </w:tc>
      </w:tr>
    </w:tbl>
    <w:p w14:paraId="13077197" w14:textId="77777777" w:rsidR="0069044F" w:rsidRPr="006739CB" w:rsidRDefault="0069044F" w:rsidP="0069044F">
      <w:pPr>
        <w:pStyle w:val="RTOWorksBodyText"/>
      </w:pPr>
      <w:r w:rsidRPr="006739CB">
        <w:t>Fees paid by students are protected as follows:</w:t>
      </w:r>
    </w:p>
    <w:p w14:paraId="5F91E52B" w14:textId="77777777" w:rsidR="007018FE" w:rsidRPr="002B5912" w:rsidRDefault="007018FE" w:rsidP="00E44810">
      <w:pPr>
        <w:pStyle w:val="RTOWorksBullet1"/>
      </w:pPr>
      <w:r w:rsidRPr="002B5912">
        <w:t>Domestic students</w:t>
      </w:r>
      <w:r>
        <w:t xml:space="preserve">: </w:t>
      </w:r>
      <w:r w:rsidRPr="002B5912">
        <w:t xml:space="preserve">students pay up to </w:t>
      </w:r>
      <w:r>
        <w:t xml:space="preserve">a maximum of </w:t>
      </w:r>
      <w:r w:rsidRPr="002B5912">
        <w:t>$1,500 in advance for services not yet provided.</w:t>
      </w:r>
    </w:p>
    <w:p w14:paraId="7B119E40" w14:textId="77777777" w:rsidR="007018FE" w:rsidRPr="002B5912" w:rsidRDefault="007018FE" w:rsidP="00E44810">
      <w:pPr>
        <w:pStyle w:val="RTOWorksBullet1"/>
      </w:pPr>
      <w:r w:rsidRPr="002B5912">
        <w:t>International students</w:t>
      </w:r>
      <w:r>
        <w:t xml:space="preserve">: </w:t>
      </w:r>
      <w:r w:rsidRPr="002B5912">
        <w:t>international student fees are protected through the following mechanisms:</w:t>
      </w:r>
    </w:p>
    <w:p w14:paraId="792D8B0C" w14:textId="1AE972DC" w:rsidR="0069044F" w:rsidRPr="00944725" w:rsidRDefault="0069044F">
      <w:pPr>
        <w:pStyle w:val="RTOWorksBullet2"/>
        <w:numPr>
          <w:ilvl w:val="1"/>
          <w:numId w:val="25"/>
        </w:numPr>
      </w:pPr>
      <w:r w:rsidRPr="006739CB">
        <w:t xml:space="preserve">Maintaining </w:t>
      </w:r>
      <w:proofErr w:type="gramStart"/>
      <w:r w:rsidRPr="006739CB">
        <w:t>a sufficient amount</w:t>
      </w:r>
      <w:proofErr w:type="gramEnd"/>
      <w:r w:rsidRPr="006739CB">
        <w:t xml:space="preserve"> in </w:t>
      </w:r>
      <w:r w:rsidR="004F797A" w:rsidRPr="00944725">
        <w:t>National Institute of Science</w:t>
      </w:r>
      <w:r w:rsidR="00C01A9C" w:rsidRPr="00944725">
        <w:t xml:space="preserve">’s </w:t>
      </w:r>
      <w:r w:rsidRPr="00944725">
        <w:t xml:space="preserve">account so that so that it </w:t>
      </w:r>
      <w:proofErr w:type="gramStart"/>
      <w:r w:rsidRPr="00944725">
        <w:t>is able to</w:t>
      </w:r>
      <w:proofErr w:type="gramEnd"/>
      <w:r w:rsidRPr="00944725">
        <w:t xml:space="preserve"> repay all tuition fees already paid. </w:t>
      </w:r>
    </w:p>
    <w:p w14:paraId="23FF7F63" w14:textId="77777777" w:rsidR="00880DC1" w:rsidRPr="002B5912" w:rsidRDefault="00880DC1" w:rsidP="00880DC1">
      <w:pPr>
        <w:pStyle w:val="RTOWorksBullet2"/>
        <w:numPr>
          <w:ilvl w:val="1"/>
          <w:numId w:val="25"/>
        </w:numPr>
      </w:pPr>
      <w:r w:rsidRPr="00944725">
        <w:t xml:space="preserve">Through membership of the Tuition Protection Scheme (TPS). The role of the TPS is to assist international students where the Registered Training Organisation is unable to fully deliver their course of study. The TPS ensures that international students </w:t>
      </w:r>
      <w:proofErr w:type="gramStart"/>
      <w:r w:rsidRPr="00944725">
        <w:t>are able to</w:t>
      </w:r>
      <w:proofErr w:type="gramEnd"/>
      <w:r w:rsidRPr="00944725">
        <w:t xml:space="preserve"> either complete their studies in another course or with another</w:t>
      </w:r>
      <w:r w:rsidRPr="002B5912">
        <w:t xml:space="preserve"> education provider or receive a refund of their unspent tuition fees. </w:t>
      </w:r>
    </w:p>
    <w:p w14:paraId="1BC6C432" w14:textId="77777777" w:rsidR="00880DC1" w:rsidRDefault="00880DC1" w:rsidP="00880DC1">
      <w:pPr>
        <w:pStyle w:val="RTOWorksBullet2"/>
        <w:numPr>
          <w:ilvl w:val="1"/>
          <w:numId w:val="25"/>
        </w:numPr>
      </w:pPr>
      <w:r w:rsidRPr="002B5912">
        <w:rPr>
          <w:lang w:eastAsia="x-none"/>
        </w:rPr>
        <w:t xml:space="preserve">In addition, international </w:t>
      </w:r>
      <w:r w:rsidRPr="002B5912">
        <w:t>students are not required to pay more than 50% of course fees prior to commencement, except where a course is less than 26 weeks. However, any international student may choose to pay their fees in full or a greater amount than 50%.</w:t>
      </w:r>
    </w:p>
    <w:tbl>
      <w:tblPr>
        <w:tblStyle w:val="TableGrid"/>
        <w:tblW w:w="0" w:type="auto"/>
        <w:tblLook w:val="04A0" w:firstRow="1" w:lastRow="0" w:firstColumn="1" w:lastColumn="0" w:noHBand="0" w:noVBand="1"/>
      </w:tblPr>
      <w:tblGrid>
        <w:gridCol w:w="9060"/>
      </w:tblGrid>
      <w:tr w:rsidR="00A321E0" w14:paraId="42FD224D" w14:textId="77777777" w:rsidTr="00293570">
        <w:tc>
          <w:tcPr>
            <w:tcW w:w="9060" w:type="dxa"/>
            <w:tcBorders>
              <w:top w:val="nil"/>
              <w:left w:val="nil"/>
              <w:bottom w:val="nil"/>
              <w:right w:val="nil"/>
            </w:tcBorders>
            <w:shd w:val="clear" w:color="auto" w:fill="C2E3EC"/>
          </w:tcPr>
          <w:p w14:paraId="460EDB3A" w14:textId="49514E23" w:rsidR="00A321E0" w:rsidRPr="00AC4AC0" w:rsidRDefault="0033189C" w:rsidP="00293570">
            <w:pPr>
              <w:pStyle w:val="RTOWorksTableHeader"/>
            </w:pPr>
            <w:r w:rsidRPr="0033189C">
              <w:t>Payments</w:t>
            </w:r>
          </w:p>
        </w:tc>
      </w:tr>
    </w:tbl>
    <w:p w14:paraId="407EA907" w14:textId="77777777" w:rsidR="0069044F" w:rsidRPr="006739CB" w:rsidRDefault="0069044F" w:rsidP="0069044F">
      <w:pPr>
        <w:pStyle w:val="RTOWorksBodyText"/>
      </w:pPr>
      <w:r w:rsidRPr="006739CB">
        <w:t>Payment options are specified in the Offer Letter and Student Agreement.</w:t>
      </w:r>
    </w:p>
    <w:p w14:paraId="158F0957" w14:textId="6BCAC8EF" w:rsidR="006C3C1B" w:rsidRDefault="006C3C1B" w:rsidP="0069044F">
      <w:pPr>
        <w:pStyle w:val="RTOWorksBodyText"/>
      </w:pPr>
      <w:r w:rsidRPr="006C3C1B">
        <w:t xml:space="preserve">All fees are to be paid by the date indicated on the invoice. However, where a student is unable to make a payment by the specified date, alternative arrangements may be made by contacting the office. </w:t>
      </w:r>
    </w:p>
    <w:p w14:paraId="3B3C0F04" w14:textId="4B950FB3" w:rsidR="0069044F" w:rsidRPr="006739CB" w:rsidRDefault="0069044F" w:rsidP="0069044F">
      <w:pPr>
        <w:pStyle w:val="RTOWorksBodyText"/>
      </w:pPr>
      <w:r w:rsidRPr="006739CB">
        <w:t xml:space="preserve">All payments </w:t>
      </w:r>
      <w:r w:rsidRPr="00944725">
        <w:t xml:space="preserve">are to be made by bank transfer into a specified account, the details of which are provided to students. </w:t>
      </w:r>
      <w:r w:rsidR="004F797A" w:rsidRPr="00944725">
        <w:t>National Institute of Science</w:t>
      </w:r>
      <w:r w:rsidRPr="00944725">
        <w:t xml:space="preserve"> will maintain </w:t>
      </w:r>
      <w:proofErr w:type="gramStart"/>
      <w:r w:rsidRPr="00944725">
        <w:t>a sufficient amount</w:t>
      </w:r>
      <w:proofErr w:type="gramEnd"/>
      <w:r w:rsidRPr="00944725">
        <w:t xml:space="preserve"> in the account so that it is able to repay all tuition fees already</w:t>
      </w:r>
      <w:r w:rsidRPr="006739CB">
        <w:t xml:space="preserve"> paid. </w:t>
      </w:r>
    </w:p>
    <w:p w14:paraId="0A18EF4A" w14:textId="44AD191C" w:rsidR="0069044F" w:rsidRPr="00944725" w:rsidRDefault="00FB36FD" w:rsidP="0069044F">
      <w:pPr>
        <w:pStyle w:val="RTOWorksBodyText"/>
        <w:rPr>
          <w:szCs w:val="18"/>
        </w:rPr>
      </w:pPr>
      <w:r w:rsidRPr="00FB36FD">
        <w:t xml:space="preserve">Where fees are overdue and the student has not made alternative arrangements, a first warning, second warning and notice of intention to report regarding non-payment of fees will be sent to the student </w:t>
      </w:r>
      <w:r w:rsidRPr="00944725">
        <w:t>as follows:</w:t>
      </w:r>
    </w:p>
    <w:p w14:paraId="79A08D65" w14:textId="71387972" w:rsidR="0069044F" w:rsidRPr="00944725" w:rsidRDefault="0069044F" w:rsidP="00E44810">
      <w:pPr>
        <w:pStyle w:val="RTOWorksBullet1"/>
      </w:pPr>
      <w:r w:rsidRPr="00944725">
        <w:t xml:space="preserve">First warning letter: failing to pay an invoice within 5 days of receipt or contacting </w:t>
      </w:r>
      <w:r w:rsidR="004F797A" w:rsidRPr="00944725">
        <w:t>National Institute of Science</w:t>
      </w:r>
      <w:r w:rsidRPr="00944725">
        <w:t xml:space="preserve"> to make alternative arrangements.</w:t>
      </w:r>
    </w:p>
    <w:p w14:paraId="1F5D5FA4" w14:textId="4A68FABC" w:rsidR="0069044F" w:rsidRPr="00944725" w:rsidRDefault="0069044F" w:rsidP="00E44810">
      <w:pPr>
        <w:pStyle w:val="RTOWorksBullet1"/>
      </w:pPr>
      <w:r w:rsidRPr="00944725">
        <w:t xml:space="preserve">Second warning letter: failing to pay an invoice within 5 days of receipt of the first warning letter or contacting </w:t>
      </w:r>
      <w:r w:rsidR="004F797A" w:rsidRPr="00944725">
        <w:t>National Institute of Science</w:t>
      </w:r>
      <w:r w:rsidRPr="00944725">
        <w:t xml:space="preserve"> to make alternative arrangements.</w:t>
      </w:r>
    </w:p>
    <w:p w14:paraId="5C2AEB78" w14:textId="01463AA0" w:rsidR="0069044F" w:rsidRPr="00944725" w:rsidRDefault="0069044F" w:rsidP="00E44810">
      <w:pPr>
        <w:pStyle w:val="RTOWorksBullet1"/>
      </w:pPr>
      <w:r w:rsidRPr="00944725">
        <w:t xml:space="preserve">Notice of intention to </w:t>
      </w:r>
      <w:proofErr w:type="gramStart"/>
      <w:r w:rsidRPr="00944725">
        <w:t>report:</w:t>
      </w:r>
      <w:proofErr w:type="gramEnd"/>
      <w:r w:rsidRPr="00944725">
        <w:t xml:space="preserve"> failing to pay an invoice within 5 days of receipt of the second warning letter or contacting </w:t>
      </w:r>
      <w:r w:rsidR="004F797A" w:rsidRPr="00944725">
        <w:t>National Institute of Science</w:t>
      </w:r>
      <w:r w:rsidR="00B05D3E" w:rsidRPr="00944725">
        <w:t xml:space="preserve"> </w:t>
      </w:r>
      <w:r w:rsidRPr="00944725">
        <w:t>to make alternative arrangements.</w:t>
      </w:r>
    </w:p>
    <w:p w14:paraId="442AC4A6" w14:textId="77777777" w:rsidR="00996440" w:rsidRPr="00944725" w:rsidRDefault="00996440" w:rsidP="00996440">
      <w:pPr>
        <w:pStyle w:val="RTOWorksBodyText"/>
      </w:pPr>
      <w:r w:rsidRPr="00944725">
        <w:t>Following cancellation of enrolment due to non-payment of fees, the debt will be referred to a debt collection agency.</w:t>
      </w:r>
    </w:p>
    <w:p w14:paraId="6FB80319" w14:textId="37C6FD35" w:rsidR="0069044F" w:rsidRPr="00944725" w:rsidRDefault="00996440" w:rsidP="00996440">
      <w:pPr>
        <w:pStyle w:val="RTOWorksBodyText"/>
      </w:pPr>
      <w:r w:rsidRPr="00944725">
        <w:t>All receipts of payments are kept for a minimum of 2 years following the student’s completion of their course.</w:t>
      </w:r>
    </w:p>
    <w:tbl>
      <w:tblPr>
        <w:tblStyle w:val="TableGrid"/>
        <w:tblW w:w="0" w:type="auto"/>
        <w:tblLook w:val="04A0" w:firstRow="1" w:lastRow="0" w:firstColumn="1" w:lastColumn="0" w:noHBand="0" w:noVBand="1"/>
      </w:tblPr>
      <w:tblGrid>
        <w:gridCol w:w="9060"/>
      </w:tblGrid>
      <w:tr w:rsidR="00A321E0" w:rsidRPr="00944725" w14:paraId="1353AC52" w14:textId="77777777" w:rsidTr="00293570">
        <w:tc>
          <w:tcPr>
            <w:tcW w:w="9060" w:type="dxa"/>
            <w:tcBorders>
              <w:top w:val="nil"/>
              <w:left w:val="nil"/>
              <w:bottom w:val="nil"/>
              <w:right w:val="nil"/>
            </w:tcBorders>
            <w:shd w:val="clear" w:color="auto" w:fill="C2E3EC"/>
          </w:tcPr>
          <w:p w14:paraId="13BEA1D9" w14:textId="10BEC2D7" w:rsidR="00A321E0" w:rsidRPr="00944725" w:rsidRDefault="0033189C" w:rsidP="00293570">
            <w:pPr>
              <w:pStyle w:val="RTOWorksTableHeader"/>
            </w:pPr>
            <w:r w:rsidRPr="00944725">
              <w:t xml:space="preserve">Credit transfer and RPL </w:t>
            </w:r>
          </w:p>
        </w:tc>
      </w:tr>
    </w:tbl>
    <w:p w14:paraId="712BAE0E" w14:textId="2AF4330B" w:rsidR="0069044F" w:rsidRPr="00944725" w:rsidRDefault="00206FA7" w:rsidP="0069044F">
      <w:pPr>
        <w:pStyle w:val="RTOWorksBodyText"/>
        <w:rPr>
          <w:i/>
          <w:iCs/>
        </w:rPr>
      </w:pPr>
      <w:r w:rsidRPr="00944725">
        <w:t>A reduction of fees can apply for any units granted through credit transfer and RPL. The course tuition fees should be divided by the number of units and then the reduction applied per unit for the applicable number of units. This should be shown on the invoice.</w:t>
      </w:r>
    </w:p>
    <w:tbl>
      <w:tblPr>
        <w:tblStyle w:val="TableGrid"/>
        <w:tblW w:w="0" w:type="auto"/>
        <w:tblLook w:val="04A0" w:firstRow="1" w:lastRow="0" w:firstColumn="1" w:lastColumn="0" w:noHBand="0" w:noVBand="1"/>
      </w:tblPr>
      <w:tblGrid>
        <w:gridCol w:w="9060"/>
      </w:tblGrid>
      <w:tr w:rsidR="00A321E0" w:rsidRPr="00944725" w14:paraId="39C1ABE0" w14:textId="77777777" w:rsidTr="00293570">
        <w:tc>
          <w:tcPr>
            <w:tcW w:w="9060" w:type="dxa"/>
            <w:tcBorders>
              <w:top w:val="nil"/>
              <w:left w:val="nil"/>
              <w:bottom w:val="nil"/>
              <w:right w:val="nil"/>
            </w:tcBorders>
            <w:shd w:val="clear" w:color="auto" w:fill="C2E3EC"/>
          </w:tcPr>
          <w:p w14:paraId="080EC5A9" w14:textId="6141E90A" w:rsidR="00A321E0" w:rsidRPr="00944725" w:rsidRDefault="0033189C" w:rsidP="00293570">
            <w:pPr>
              <w:pStyle w:val="RTOWorksTableHeader"/>
            </w:pPr>
            <w:r w:rsidRPr="00944725">
              <w:t>Refunds</w:t>
            </w:r>
          </w:p>
        </w:tc>
      </w:tr>
    </w:tbl>
    <w:p w14:paraId="384C13BE" w14:textId="77777777" w:rsidR="0069044F" w:rsidRPr="00944725" w:rsidRDefault="0069044F" w:rsidP="0069044F">
      <w:pPr>
        <w:pStyle w:val="RTOWorksBodyText"/>
      </w:pPr>
      <w:r w:rsidRPr="00944725">
        <w:t xml:space="preserve">Refunds for international students are calculated in accordance with the ESOS framework. </w:t>
      </w:r>
    </w:p>
    <w:p w14:paraId="599E3C7C" w14:textId="446D738E" w:rsidR="0069044F" w:rsidRPr="00944725" w:rsidRDefault="0069044F" w:rsidP="0069044F">
      <w:pPr>
        <w:pStyle w:val="RTOWorksBodyText"/>
      </w:pPr>
      <w:r w:rsidRPr="00944725">
        <w:t xml:space="preserve">All application fees are non-refundable except where </w:t>
      </w:r>
      <w:r w:rsidR="004F797A" w:rsidRPr="00944725">
        <w:t>National Institute of Science</w:t>
      </w:r>
      <w:r w:rsidRPr="00944725">
        <w:t xml:space="preserve"> cancels a course prior to commencement due to insufficient numbers or other unforeseen circumstances, including a sanction being imposed on </w:t>
      </w:r>
      <w:r w:rsidR="004F797A" w:rsidRPr="00944725">
        <w:t>National Institute of Science</w:t>
      </w:r>
      <w:r w:rsidRPr="00944725">
        <w:t xml:space="preserve">. </w:t>
      </w:r>
    </w:p>
    <w:p w14:paraId="2683406F" w14:textId="5A3A068C" w:rsidR="0069044F" w:rsidRPr="00944725" w:rsidRDefault="0069044F" w:rsidP="0069044F">
      <w:pPr>
        <w:pStyle w:val="RTOWorksBodyText"/>
      </w:pPr>
      <w:r w:rsidRPr="00944725">
        <w:t xml:space="preserve">Where </w:t>
      </w:r>
      <w:r w:rsidR="004F797A" w:rsidRPr="00944725">
        <w:t>National Institute of Science</w:t>
      </w:r>
      <w:r w:rsidRPr="00944725">
        <w:t xml:space="preserve"> cancels a course either before or after commencement, students will receive an automatic refund and do not need to complete the Refund Application Form. This will be provided within 10 working days of the default. </w:t>
      </w:r>
    </w:p>
    <w:p w14:paraId="144B9E92" w14:textId="77777777" w:rsidR="0069044F" w:rsidRPr="00944725" w:rsidRDefault="0069044F" w:rsidP="0069044F">
      <w:pPr>
        <w:pStyle w:val="RTOWorksBodyText"/>
      </w:pPr>
      <w:r w:rsidRPr="00944725">
        <w:t xml:space="preserve">In all other circumstances, students are required to complete a Refund Application Form which can be accessed from our office This form must be submitted within 10 working days of the event that led to the request for the refund. The outcome of the refund assessment will be forwarded to the student in writing within 20 working days, as well as any applicable refund. </w:t>
      </w:r>
    </w:p>
    <w:p w14:paraId="340EFC04" w14:textId="77777777" w:rsidR="0069044F" w:rsidRPr="00944725" w:rsidRDefault="0069044F" w:rsidP="0069044F">
      <w:pPr>
        <w:pStyle w:val="RTOWorksBodyText"/>
      </w:pPr>
      <w:r w:rsidRPr="00944725">
        <w:t xml:space="preserve">Refunds will be paid to the person or entity from whom the original payment was received and in Australian Dollars. </w:t>
      </w:r>
    </w:p>
    <w:p w14:paraId="3DE6E90A" w14:textId="77777777" w:rsidR="0069044F" w:rsidRPr="00944725" w:rsidRDefault="0069044F" w:rsidP="0069044F">
      <w:pPr>
        <w:pStyle w:val="RTOWorksBodyText"/>
      </w:pPr>
      <w:r w:rsidRPr="00944725">
        <w:t>The refund policy does not remove the right of the student to take further action under Australian Consumer Law.</w:t>
      </w:r>
    </w:p>
    <w:tbl>
      <w:tblPr>
        <w:tblStyle w:val="TableGrid"/>
        <w:tblW w:w="0" w:type="auto"/>
        <w:tblLook w:val="04A0" w:firstRow="1" w:lastRow="0" w:firstColumn="1" w:lastColumn="0" w:noHBand="0" w:noVBand="1"/>
      </w:tblPr>
      <w:tblGrid>
        <w:gridCol w:w="9060"/>
      </w:tblGrid>
      <w:tr w:rsidR="00A321E0" w:rsidRPr="00944725" w14:paraId="3D9A2EB4" w14:textId="77777777" w:rsidTr="00293570">
        <w:tc>
          <w:tcPr>
            <w:tcW w:w="9060" w:type="dxa"/>
            <w:tcBorders>
              <w:top w:val="nil"/>
              <w:left w:val="nil"/>
              <w:bottom w:val="nil"/>
              <w:right w:val="nil"/>
            </w:tcBorders>
            <w:shd w:val="clear" w:color="auto" w:fill="C2E3EC"/>
          </w:tcPr>
          <w:p w14:paraId="65A31CF1" w14:textId="452424D3" w:rsidR="00A321E0" w:rsidRPr="00944725" w:rsidRDefault="0033189C" w:rsidP="00293570">
            <w:pPr>
              <w:pStyle w:val="RTOWorksTableHeader"/>
            </w:pPr>
            <w:r w:rsidRPr="00944725">
              <w:t xml:space="preserve">Domestic student refunds </w:t>
            </w:r>
          </w:p>
        </w:tc>
      </w:tr>
    </w:tbl>
    <w:p w14:paraId="00E80B6A" w14:textId="1587F324" w:rsidR="0069044F" w:rsidRPr="00944725" w:rsidRDefault="0069044F" w:rsidP="0069044F">
      <w:pPr>
        <w:pStyle w:val="RTOWorksBodyText"/>
        <w:spacing w:after="180"/>
      </w:pPr>
      <w:r w:rsidRPr="00944725">
        <w:t>In addition to the above circumstances, refunds for domestic students will be calculated as follows:</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530"/>
        <w:gridCol w:w="4530"/>
      </w:tblGrid>
      <w:tr w:rsidR="00D62756" w:rsidRPr="00944725" w14:paraId="56D05C63" w14:textId="77777777" w:rsidTr="00293570">
        <w:trPr>
          <w:tblHeader/>
        </w:trPr>
        <w:tc>
          <w:tcPr>
            <w:tcW w:w="4530" w:type="dxa"/>
            <w:shd w:val="clear" w:color="auto" w:fill="DFF0F5"/>
          </w:tcPr>
          <w:p w14:paraId="1873DA5F" w14:textId="2271ED97" w:rsidR="00D62756" w:rsidRPr="00944725" w:rsidRDefault="00D62756" w:rsidP="00D62756">
            <w:pPr>
              <w:pStyle w:val="RTOWorksTableHeader"/>
              <w:rPr>
                <w:szCs w:val="18"/>
              </w:rPr>
            </w:pPr>
            <w:r w:rsidRPr="00944725">
              <w:t xml:space="preserve">Circumstance </w:t>
            </w:r>
          </w:p>
        </w:tc>
        <w:tc>
          <w:tcPr>
            <w:tcW w:w="4530" w:type="dxa"/>
            <w:shd w:val="clear" w:color="auto" w:fill="DFF0F5"/>
          </w:tcPr>
          <w:p w14:paraId="2F8D3253" w14:textId="311AD8CF" w:rsidR="00D62756" w:rsidRPr="00944725" w:rsidRDefault="00D62756" w:rsidP="00D62756">
            <w:pPr>
              <w:pStyle w:val="RTOWorksTableHeader"/>
              <w:rPr>
                <w:szCs w:val="18"/>
              </w:rPr>
            </w:pPr>
            <w:r w:rsidRPr="00944725">
              <w:t>Refund due</w:t>
            </w:r>
          </w:p>
        </w:tc>
      </w:tr>
      <w:tr w:rsidR="00D62756" w:rsidRPr="00944725" w14:paraId="56513FB0" w14:textId="77777777" w:rsidTr="00293570">
        <w:trPr>
          <w:trHeight w:val="276"/>
        </w:trPr>
        <w:tc>
          <w:tcPr>
            <w:tcW w:w="4530" w:type="dxa"/>
          </w:tcPr>
          <w:p w14:paraId="127531B0" w14:textId="64D022C1" w:rsidR="00D62756" w:rsidRPr="00944725" w:rsidRDefault="004F797A" w:rsidP="00D62756">
            <w:pPr>
              <w:pStyle w:val="RTOWorksBodyText"/>
            </w:pPr>
            <w:r w:rsidRPr="00944725">
              <w:t>National Institute of Science</w:t>
            </w:r>
            <w:r w:rsidR="00D62756" w:rsidRPr="00944725">
              <w:t xml:space="preserve"> cancels course before commencement due to insufficient numbers or other unforeseen circumstances, including a sanction being imposed on </w:t>
            </w:r>
            <w:r w:rsidRPr="00944725">
              <w:t>National Institute of Science</w:t>
            </w:r>
            <w:r w:rsidR="00D62756" w:rsidRPr="00944725">
              <w:t xml:space="preserve"> (known as provider default). </w:t>
            </w:r>
          </w:p>
        </w:tc>
        <w:tc>
          <w:tcPr>
            <w:tcW w:w="4530" w:type="dxa"/>
          </w:tcPr>
          <w:p w14:paraId="34FFD9BF" w14:textId="220523C7" w:rsidR="00D62756" w:rsidRPr="00944725" w:rsidRDefault="00D62756" w:rsidP="00D62756">
            <w:pPr>
              <w:pStyle w:val="RTOWorksBodyText"/>
            </w:pPr>
            <w:r w:rsidRPr="00944725">
              <w:t>Full refund of all fees.</w:t>
            </w:r>
          </w:p>
        </w:tc>
      </w:tr>
      <w:tr w:rsidR="00D62756" w:rsidRPr="00944725" w14:paraId="3CDA4B66" w14:textId="77777777" w:rsidTr="00293570">
        <w:tc>
          <w:tcPr>
            <w:tcW w:w="4530" w:type="dxa"/>
          </w:tcPr>
          <w:p w14:paraId="060531D6" w14:textId="7E91C452" w:rsidR="00D62756" w:rsidRPr="00944725" w:rsidRDefault="004F797A" w:rsidP="00D62756">
            <w:pPr>
              <w:pStyle w:val="RTOWorksBodyText"/>
            </w:pPr>
            <w:r w:rsidRPr="00944725">
              <w:t>National Institute of Science</w:t>
            </w:r>
            <w:r w:rsidR="00D62756" w:rsidRPr="00944725">
              <w:t xml:space="preserve"> cancels course due to unforeseen circumstances, including a sanction being imposed on </w:t>
            </w:r>
            <w:r w:rsidRPr="00944725">
              <w:t>National Institute of Science</w:t>
            </w:r>
            <w:r w:rsidR="00290068" w:rsidRPr="00944725">
              <w:t xml:space="preserve"> </w:t>
            </w:r>
            <w:r w:rsidR="00D62756" w:rsidRPr="00944725">
              <w:t>(known as provider default).</w:t>
            </w:r>
          </w:p>
        </w:tc>
        <w:tc>
          <w:tcPr>
            <w:tcW w:w="4530" w:type="dxa"/>
          </w:tcPr>
          <w:p w14:paraId="2EBAF171" w14:textId="77777777" w:rsidR="00D62756" w:rsidRPr="00944725" w:rsidRDefault="00D62756" w:rsidP="00D62756">
            <w:pPr>
              <w:pStyle w:val="RTOWorksBodyText"/>
            </w:pPr>
            <w:r w:rsidRPr="00944725">
              <w:t>Application fee not refunded.</w:t>
            </w:r>
          </w:p>
          <w:p w14:paraId="54CD3B11" w14:textId="77777777" w:rsidR="00D62756" w:rsidRPr="00944725" w:rsidRDefault="00D62756" w:rsidP="00D62756">
            <w:pPr>
              <w:pStyle w:val="RTOWorksBodyText"/>
            </w:pPr>
            <w:r w:rsidRPr="00944725">
              <w:t>Full refund of all unspent fees calculated as follows:</w:t>
            </w:r>
          </w:p>
          <w:p w14:paraId="10558BA1" w14:textId="605FCBCC" w:rsidR="00D62756" w:rsidRPr="00944725" w:rsidRDefault="00D62756" w:rsidP="00D62756">
            <w:pPr>
              <w:pStyle w:val="RTOWorksBodyText"/>
            </w:pPr>
            <w:r w:rsidRPr="00944725">
              <w:t xml:space="preserve">Weekly tuition fee multiplied by the weeks in the default period (calculated from the date of default).  </w:t>
            </w:r>
          </w:p>
        </w:tc>
      </w:tr>
      <w:tr w:rsidR="00D62756" w:rsidRPr="00944725" w14:paraId="0ADE7316" w14:textId="77777777" w:rsidTr="00293570">
        <w:tc>
          <w:tcPr>
            <w:tcW w:w="4530" w:type="dxa"/>
          </w:tcPr>
          <w:p w14:paraId="040144DB" w14:textId="477DE076" w:rsidR="00D62756" w:rsidRPr="00944725" w:rsidRDefault="00D62756" w:rsidP="00D62756">
            <w:pPr>
              <w:pStyle w:val="RTOWorksBodyText"/>
            </w:pPr>
            <w:r w:rsidRPr="00944725">
              <w:t>Student withdraws up to 4 weeks prior to course commencement.</w:t>
            </w:r>
          </w:p>
        </w:tc>
        <w:tc>
          <w:tcPr>
            <w:tcW w:w="4530" w:type="dxa"/>
          </w:tcPr>
          <w:p w14:paraId="307E5894" w14:textId="77777777" w:rsidR="00D62756" w:rsidRPr="00944725" w:rsidRDefault="00D62756" w:rsidP="00D62756">
            <w:pPr>
              <w:pStyle w:val="RTOWorksBodyText"/>
            </w:pPr>
            <w:r w:rsidRPr="00944725">
              <w:t xml:space="preserve">Application fee not refunded.  </w:t>
            </w:r>
          </w:p>
          <w:p w14:paraId="3FBB2DF2" w14:textId="25416CCF" w:rsidR="00D62756" w:rsidRPr="00944725" w:rsidRDefault="00D62756" w:rsidP="00D62756">
            <w:pPr>
              <w:pStyle w:val="RTOWorksBodyText"/>
            </w:pPr>
            <w:r w:rsidRPr="00944725">
              <w:t>Refund of all other fees.</w:t>
            </w:r>
          </w:p>
        </w:tc>
      </w:tr>
      <w:tr w:rsidR="00D62756" w:rsidRPr="00944725" w14:paraId="24C3FB70" w14:textId="77777777" w:rsidTr="00293570">
        <w:tc>
          <w:tcPr>
            <w:tcW w:w="4530" w:type="dxa"/>
          </w:tcPr>
          <w:p w14:paraId="12F1C220" w14:textId="6A00CD57" w:rsidR="00D62756" w:rsidRPr="00944725" w:rsidRDefault="00D62756" w:rsidP="00D62756">
            <w:pPr>
              <w:pStyle w:val="RTOWorksBodyText"/>
            </w:pPr>
            <w:r w:rsidRPr="00944725">
              <w:t>Student withdraws less than 4 weeks prior to course commencement.</w:t>
            </w:r>
          </w:p>
        </w:tc>
        <w:tc>
          <w:tcPr>
            <w:tcW w:w="4530" w:type="dxa"/>
          </w:tcPr>
          <w:p w14:paraId="13814CF0" w14:textId="77777777" w:rsidR="00D62756" w:rsidRPr="00944725" w:rsidRDefault="00D62756" w:rsidP="00D62756">
            <w:pPr>
              <w:pStyle w:val="RTOWorksBodyText"/>
            </w:pPr>
            <w:r w:rsidRPr="00944725">
              <w:t xml:space="preserve">Application fee not refunded.  </w:t>
            </w:r>
          </w:p>
          <w:p w14:paraId="5FB102C4" w14:textId="59F80981" w:rsidR="00D62756" w:rsidRPr="00944725" w:rsidRDefault="00D62756" w:rsidP="00D62756">
            <w:pPr>
              <w:pStyle w:val="RTOWorksBodyText"/>
            </w:pPr>
            <w:r w:rsidRPr="00944725">
              <w:t>Refund of 90% of all other fees.</w:t>
            </w:r>
          </w:p>
        </w:tc>
      </w:tr>
      <w:tr w:rsidR="00D62756" w:rsidRPr="00944725" w14:paraId="50556101" w14:textId="77777777" w:rsidTr="00293570">
        <w:tc>
          <w:tcPr>
            <w:tcW w:w="4530" w:type="dxa"/>
          </w:tcPr>
          <w:p w14:paraId="0D91B030" w14:textId="34DBD39F" w:rsidR="00D62756" w:rsidRPr="00944725" w:rsidRDefault="00D62756" w:rsidP="00D62756">
            <w:pPr>
              <w:pStyle w:val="RTOWorksBodyText"/>
            </w:pPr>
            <w:r w:rsidRPr="00944725">
              <w:t>Student withdraws after commencement.</w:t>
            </w:r>
          </w:p>
        </w:tc>
        <w:tc>
          <w:tcPr>
            <w:tcW w:w="4530" w:type="dxa"/>
          </w:tcPr>
          <w:p w14:paraId="229E1CF2" w14:textId="77777777" w:rsidR="00D62756" w:rsidRPr="00944725" w:rsidRDefault="00D62756" w:rsidP="00D62756">
            <w:pPr>
              <w:pStyle w:val="RTOWorksBodyText"/>
            </w:pPr>
            <w:r w:rsidRPr="00944725">
              <w:t xml:space="preserve">No refund. </w:t>
            </w:r>
          </w:p>
          <w:p w14:paraId="6B55A986" w14:textId="26C93513" w:rsidR="00D62756" w:rsidRPr="00944725" w:rsidRDefault="00D62756" w:rsidP="00D62756">
            <w:pPr>
              <w:pStyle w:val="RTOWorksBodyText"/>
            </w:pPr>
            <w:r w:rsidRPr="00944725">
              <w:t xml:space="preserve">Fees for full study period (term) to be paid. </w:t>
            </w:r>
          </w:p>
        </w:tc>
      </w:tr>
      <w:tr w:rsidR="00D62756" w:rsidRPr="00944725" w14:paraId="6AD19280" w14:textId="77777777" w:rsidTr="00293570">
        <w:tc>
          <w:tcPr>
            <w:tcW w:w="4530" w:type="dxa"/>
          </w:tcPr>
          <w:p w14:paraId="13624195" w14:textId="1005E67B" w:rsidR="00D62756" w:rsidRPr="00944725" w:rsidRDefault="00D62756" w:rsidP="00D62756">
            <w:pPr>
              <w:pStyle w:val="RTOWorksBodyText"/>
            </w:pPr>
            <w:r w:rsidRPr="00944725">
              <w:t>Student’s enrolment is cancelled due to disciplinary action.</w:t>
            </w:r>
          </w:p>
        </w:tc>
        <w:tc>
          <w:tcPr>
            <w:tcW w:w="4530" w:type="dxa"/>
          </w:tcPr>
          <w:p w14:paraId="4D67C896" w14:textId="77777777" w:rsidR="00D62756" w:rsidRPr="00944725" w:rsidRDefault="00D62756" w:rsidP="00D62756">
            <w:pPr>
              <w:pStyle w:val="RTOWorksBodyText"/>
            </w:pPr>
            <w:r w:rsidRPr="00944725">
              <w:t xml:space="preserve">No refund. </w:t>
            </w:r>
          </w:p>
          <w:p w14:paraId="3B7AA325" w14:textId="2186FC69" w:rsidR="00D62756" w:rsidRPr="00944725" w:rsidRDefault="00D62756" w:rsidP="00D62756">
            <w:pPr>
              <w:pStyle w:val="RTOWorksBodyText"/>
            </w:pPr>
            <w:r w:rsidRPr="00944725">
              <w:t xml:space="preserve">Fees for full study period (term) to be paid. </w:t>
            </w:r>
          </w:p>
        </w:tc>
      </w:tr>
      <w:tr w:rsidR="00D903DE" w:rsidRPr="00944725" w14:paraId="7BAB7E62" w14:textId="77777777" w:rsidTr="00293570">
        <w:tc>
          <w:tcPr>
            <w:tcW w:w="4530" w:type="dxa"/>
          </w:tcPr>
          <w:p w14:paraId="536034D8" w14:textId="6EE38512" w:rsidR="00D903DE" w:rsidRPr="00944725" w:rsidRDefault="00D903DE" w:rsidP="00D903DE">
            <w:pPr>
              <w:pStyle w:val="RTOWorksBodyText"/>
            </w:pPr>
            <w:r w:rsidRPr="00944725">
              <w:t xml:space="preserve">The student has supplied incorrect or incomplete information causing </w:t>
            </w:r>
            <w:r w:rsidR="004F797A" w:rsidRPr="00944725">
              <w:t>National Institute of Science</w:t>
            </w:r>
            <w:r w:rsidRPr="00944725">
              <w:t xml:space="preserve"> to withdraw the offer of the course prior to commencement.</w:t>
            </w:r>
          </w:p>
        </w:tc>
        <w:tc>
          <w:tcPr>
            <w:tcW w:w="4530" w:type="dxa"/>
          </w:tcPr>
          <w:p w14:paraId="53455148" w14:textId="77777777" w:rsidR="00D903DE" w:rsidRPr="00944725" w:rsidRDefault="00D903DE" w:rsidP="00D903DE">
            <w:pPr>
              <w:pStyle w:val="RTOWorksBodyText"/>
            </w:pPr>
            <w:r w:rsidRPr="00944725">
              <w:t xml:space="preserve">No refund. </w:t>
            </w:r>
          </w:p>
          <w:p w14:paraId="2CD8290C" w14:textId="66492627" w:rsidR="00D903DE" w:rsidRPr="00944725" w:rsidRDefault="00D903DE" w:rsidP="00D903DE">
            <w:pPr>
              <w:pStyle w:val="RTOWorksBodyText"/>
            </w:pPr>
            <w:r w:rsidRPr="00944725">
              <w:t xml:space="preserve">Fees for full study period (term) to be paid. </w:t>
            </w:r>
          </w:p>
        </w:tc>
      </w:tr>
    </w:tbl>
    <w:p w14:paraId="5487E30A" w14:textId="193EF194" w:rsidR="0069044F" w:rsidRPr="00944725" w:rsidRDefault="0069044F" w:rsidP="0069044F">
      <w:pPr>
        <w:pStyle w:val="RTOWorksBodyText"/>
      </w:pPr>
    </w:p>
    <w:tbl>
      <w:tblPr>
        <w:tblStyle w:val="TableGrid"/>
        <w:tblW w:w="0" w:type="auto"/>
        <w:tblLook w:val="04A0" w:firstRow="1" w:lastRow="0" w:firstColumn="1" w:lastColumn="0" w:noHBand="0" w:noVBand="1"/>
      </w:tblPr>
      <w:tblGrid>
        <w:gridCol w:w="9060"/>
      </w:tblGrid>
      <w:tr w:rsidR="00A321E0" w:rsidRPr="00944725" w14:paraId="55D3464A" w14:textId="77777777" w:rsidTr="00293570">
        <w:tc>
          <w:tcPr>
            <w:tcW w:w="9060" w:type="dxa"/>
            <w:tcBorders>
              <w:top w:val="nil"/>
              <w:left w:val="nil"/>
              <w:bottom w:val="nil"/>
              <w:right w:val="nil"/>
            </w:tcBorders>
            <w:shd w:val="clear" w:color="auto" w:fill="C2E3EC"/>
          </w:tcPr>
          <w:p w14:paraId="3BBCD20E" w14:textId="75E11317" w:rsidR="00A321E0" w:rsidRPr="00944725" w:rsidRDefault="005346AD" w:rsidP="00293570">
            <w:pPr>
              <w:pStyle w:val="RTOWorksTableHeader"/>
            </w:pPr>
            <w:r w:rsidRPr="00944725">
              <w:t xml:space="preserve">International student refunds </w:t>
            </w:r>
          </w:p>
        </w:tc>
      </w:tr>
    </w:tbl>
    <w:p w14:paraId="0E138099" w14:textId="22564C7A" w:rsidR="0069044F" w:rsidRPr="00944725" w:rsidRDefault="0069044F" w:rsidP="0069044F">
      <w:pPr>
        <w:pStyle w:val="RTOWorksBodyText"/>
        <w:spacing w:after="180"/>
      </w:pPr>
      <w:r w:rsidRPr="00944725">
        <w:t xml:space="preserve">In addition to the above circumstances, refunds for international students will be calculated as </w:t>
      </w:r>
      <w:r w:rsidR="00270261" w:rsidRPr="00944725">
        <w:t xml:space="preserve">set out in the table below. Note the weekly tuition fee </w:t>
      </w:r>
      <w:r w:rsidR="00312321" w:rsidRPr="00944725">
        <w:t xml:space="preserve">and weeks in the default period have the </w:t>
      </w:r>
      <w:r w:rsidR="00270261" w:rsidRPr="00944725">
        <w:t>meaning as set in the ESOS (Calculation of Refund Instrument) 2024.</w:t>
      </w:r>
      <w:r w:rsidR="00312321" w:rsidRPr="00944725">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530"/>
        <w:gridCol w:w="4530"/>
      </w:tblGrid>
      <w:tr w:rsidR="001C1E0D" w:rsidRPr="00944725" w14:paraId="6397F630" w14:textId="77777777" w:rsidTr="00293570">
        <w:trPr>
          <w:tblHeader/>
        </w:trPr>
        <w:tc>
          <w:tcPr>
            <w:tcW w:w="4530" w:type="dxa"/>
            <w:shd w:val="clear" w:color="auto" w:fill="DFF0F5"/>
          </w:tcPr>
          <w:p w14:paraId="062D9581" w14:textId="77777777" w:rsidR="001C1E0D" w:rsidRPr="00944725" w:rsidRDefault="001C1E0D" w:rsidP="00293570">
            <w:pPr>
              <w:pStyle w:val="RTOWorksTableHeader"/>
              <w:rPr>
                <w:szCs w:val="18"/>
              </w:rPr>
            </w:pPr>
            <w:r w:rsidRPr="00944725">
              <w:t xml:space="preserve">Circumstance </w:t>
            </w:r>
          </w:p>
        </w:tc>
        <w:tc>
          <w:tcPr>
            <w:tcW w:w="4530" w:type="dxa"/>
            <w:shd w:val="clear" w:color="auto" w:fill="DFF0F5"/>
          </w:tcPr>
          <w:p w14:paraId="1DCD2F30" w14:textId="77777777" w:rsidR="001C1E0D" w:rsidRPr="00944725" w:rsidRDefault="001C1E0D" w:rsidP="00293570">
            <w:pPr>
              <w:pStyle w:val="RTOWorksTableHeader"/>
              <w:rPr>
                <w:szCs w:val="18"/>
              </w:rPr>
            </w:pPr>
            <w:r w:rsidRPr="00944725">
              <w:t>Refund due</w:t>
            </w:r>
          </w:p>
        </w:tc>
      </w:tr>
      <w:tr w:rsidR="001C1E0D" w:rsidRPr="00944725" w14:paraId="03D6AE83" w14:textId="77777777" w:rsidTr="00293570">
        <w:trPr>
          <w:trHeight w:val="276"/>
        </w:trPr>
        <w:tc>
          <w:tcPr>
            <w:tcW w:w="4530" w:type="dxa"/>
          </w:tcPr>
          <w:p w14:paraId="57CC80A7" w14:textId="04ADF4C8" w:rsidR="001C1E0D" w:rsidRPr="00944725" w:rsidRDefault="004F797A" w:rsidP="001C1E0D">
            <w:pPr>
              <w:pStyle w:val="RTOWorksBodyText"/>
            </w:pPr>
            <w:r w:rsidRPr="00944725">
              <w:t>National Institute of Science</w:t>
            </w:r>
            <w:r w:rsidR="001C1E0D" w:rsidRPr="00944725">
              <w:t xml:space="preserve"> cancels course before commencement</w:t>
            </w:r>
            <w:r w:rsidR="00CF061A" w:rsidRPr="00944725">
              <w:t>.</w:t>
            </w:r>
          </w:p>
        </w:tc>
        <w:tc>
          <w:tcPr>
            <w:tcW w:w="4530" w:type="dxa"/>
          </w:tcPr>
          <w:p w14:paraId="5B70721D" w14:textId="2DEB215D" w:rsidR="001C1E0D" w:rsidRPr="00944725" w:rsidRDefault="001C1E0D" w:rsidP="001C1E0D">
            <w:pPr>
              <w:pStyle w:val="RTOWorksBodyText"/>
            </w:pPr>
            <w:r w:rsidRPr="00944725">
              <w:t>Full refund of all fees.</w:t>
            </w:r>
          </w:p>
        </w:tc>
      </w:tr>
      <w:tr w:rsidR="001C1E0D" w:rsidRPr="00944725" w14:paraId="1FCC793E" w14:textId="77777777" w:rsidTr="00293570">
        <w:tc>
          <w:tcPr>
            <w:tcW w:w="4530" w:type="dxa"/>
          </w:tcPr>
          <w:p w14:paraId="5DF18140" w14:textId="773CFE37" w:rsidR="001C1E0D" w:rsidRPr="00944725" w:rsidRDefault="004F797A" w:rsidP="001C1E0D">
            <w:pPr>
              <w:pStyle w:val="RTOWorksBodyText"/>
            </w:pPr>
            <w:r w:rsidRPr="00944725">
              <w:t>National Institute of Science</w:t>
            </w:r>
            <w:r w:rsidR="001C1E0D" w:rsidRPr="00944725">
              <w:t xml:space="preserve"> cancels course following commencement</w:t>
            </w:r>
            <w:r w:rsidR="00A40D1C" w:rsidRPr="00944725">
              <w:t>.</w:t>
            </w:r>
          </w:p>
        </w:tc>
        <w:tc>
          <w:tcPr>
            <w:tcW w:w="4530" w:type="dxa"/>
          </w:tcPr>
          <w:p w14:paraId="185E4396" w14:textId="77777777" w:rsidR="001C1E0D" w:rsidRPr="00944725" w:rsidRDefault="001C1E0D" w:rsidP="001C1E0D">
            <w:pPr>
              <w:pStyle w:val="RTOWorksBodyText"/>
            </w:pPr>
            <w:r w:rsidRPr="00944725">
              <w:t>Full refund of all unspent fees calculated as follows:</w:t>
            </w:r>
          </w:p>
          <w:p w14:paraId="1B80305F" w14:textId="3FDBC8F4" w:rsidR="00E95335" w:rsidRPr="00944725" w:rsidRDefault="001C1E0D" w:rsidP="001C1E0D">
            <w:pPr>
              <w:pStyle w:val="RTOWorksBodyText"/>
            </w:pPr>
            <w:r w:rsidRPr="00944725">
              <w:t xml:space="preserve">Weekly tuition fee multiplied by the weeks in the default period (calculated from the date of default).  </w:t>
            </w:r>
          </w:p>
        </w:tc>
      </w:tr>
      <w:tr w:rsidR="001C1E0D" w14:paraId="40A9119A" w14:textId="77777777" w:rsidTr="00293570">
        <w:tc>
          <w:tcPr>
            <w:tcW w:w="4530" w:type="dxa"/>
          </w:tcPr>
          <w:p w14:paraId="0ACE5ADF" w14:textId="40CAB7DC" w:rsidR="001C1E0D" w:rsidRPr="00944725" w:rsidRDefault="004F797A" w:rsidP="001C1E0D">
            <w:pPr>
              <w:pStyle w:val="RTOWorksBodyText"/>
            </w:pPr>
            <w:r w:rsidRPr="00944725">
              <w:t>National Institute of Science</w:t>
            </w:r>
            <w:r w:rsidR="001C1E0D" w:rsidRPr="00944725">
              <w:t xml:space="preserve"> has not provided an Offer Letter and Student Agreement that meets the requirements of the National Code 2018.</w:t>
            </w:r>
          </w:p>
          <w:p w14:paraId="0253F301" w14:textId="6637EEBB" w:rsidR="001C1E0D" w:rsidRPr="00944725" w:rsidRDefault="001C1E0D" w:rsidP="001C1E0D">
            <w:pPr>
              <w:pStyle w:val="RTOWorksBodyText"/>
            </w:pPr>
          </w:p>
        </w:tc>
        <w:tc>
          <w:tcPr>
            <w:tcW w:w="4530" w:type="dxa"/>
          </w:tcPr>
          <w:p w14:paraId="4E9733E6" w14:textId="77777777" w:rsidR="001C1E0D" w:rsidRPr="00944725" w:rsidRDefault="001C1E0D" w:rsidP="001C1E0D">
            <w:pPr>
              <w:pStyle w:val="RTOWorksBodyText"/>
            </w:pPr>
            <w:r w:rsidRPr="00944725">
              <w:t>Full refund of all unspent fees calculated as follows:</w:t>
            </w:r>
          </w:p>
          <w:p w14:paraId="712557E0" w14:textId="19AEE642" w:rsidR="001C1E0D" w:rsidRPr="001C1E0D" w:rsidRDefault="001C1E0D" w:rsidP="001C1E0D">
            <w:pPr>
              <w:pStyle w:val="RTOWorksBodyText"/>
            </w:pPr>
            <w:r w:rsidRPr="00944725">
              <w:t>Weekly tuition fee multiplied by the weeks in the default period (calculated from the date of default).</w:t>
            </w:r>
            <w:r w:rsidRPr="001C1E0D">
              <w:t xml:space="preserve">  </w:t>
            </w:r>
          </w:p>
        </w:tc>
      </w:tr>
      <w:tr w:rsidR="001C1E0D" w14:paraId="68FEB2E3" w14:textId="77777777" w:rsidTr="00293570">
        <w:tc>
          <w:tcPr>
            <w:tcW w:w="4530" w:type="dxa"/>
          </w:tcPr>
          <w:p w14:paraId="31152A12" w14:textId="331C8AF3" w:rsidR="001C1E0D" w:rsidRPr="001C1E0D" w:rsidRDefault="001C1E0D" w:rsidP="001C1E0D">
            <w:pPr>
              <w:pStyle w:val="RTOWorksBodyText"/>
            </w:pPr>
            <w:r w:rsidRPr="001C1E0D">
              <w:t>Student withdraws up to 4 weeks prior to course commencement.</w:t>
            </w:r>
          </w:p>
        </w:tc>
        <w:tc>
          <w:tcPr>
            <w:tcW w:w="4530" w:type="dxa"/>
          </w:tcPr>
          <w:p w14:paraId="727F3F6B" w14:textId="77777777" w:rsidR="001C1E0D" w:rsidRPr="001C1E0D" w:rsidRDefault="001C1E0D" w:rsidP="001C1E0D">
            <w:pPr>
              <w:pStyle w:val="RTOWorksBodyText"/>
            </w:pPr>
            <w:r w:rsidRPr="001C1E0D">
              <w:t xml:space="preserve">Application fee not refunded.  </w:t>
            </w:r>
          </w:p>
          <w:p w14:paraId="3D405B63" w14:textId="69967ADE" w:rsidR="001C1E0D" w:rsidRPr="001C1E0D" w:rsidRDefault="001C1E0D" w:rsidP="001C1E0D">
            <w:pPr>
              <w:pStyle w:val="RTOWorksBodyText"/>
            </w:pPr>
            <w:r w:rsidRPr="001C1E0D">
              <w:t>Refund of all other fees.</w:t>
            </w:r>
          </w:p>
        </w:tc>
      </w:tr>
      <w:tr w:rsidR="001C1E0D" w14:paraId="49ED3335" w14:textId="77777777" w:rsidTr="00293570">
        <w:tc>
          <w:tcPr>
            <w:tcW w:w="4530" w:type="dxa"/>
          </w:tcPr>
          <w:p w14:paraId="0E21AB13" w14:textId="07E5EF57" w:rsidR="001C1E0D" w:rsidRPr="001C1E0D" w:rsidRDefault="001C1E0D" w:rsidP="001C1E0D">
            <w:pPr>
              <w:pStyle w:val="RTOWorksBodyText"/>
            </w:pPr>
            <w:r w:rsidRPr="001C1E0D">
              <w:t>Student withdraws less than 4 weeks prior to course commencement.</w:t>
            </w:r>
          </w:p>
        </w:tc>
        <w:tc>
          <w:tcPr>
            <w:tcW w:w="4530" w:type="dxa"/>
          </w:tcPr>
          <w:p w14:paraId="0B340A26" w14:textId="77777777" w:rsidR="001C1E0D" w:rsidRPr="001C1E0D" w:rsidRDefault="001C1E0D" w:rsidP="001C1E0D">
            <w:pPr>
              <w:pStyle w:val="RTOWorksBodyText"/>
            </w:pPr>
            <w:r w:rsidRPr="001C1E0D">
              <w:t xml:space="preserve">Application fee not refunded.  </w:t>
            </w:r>
          </w:p>
          <w:p w14:paraId="479C1562" w14:textId="4CF48864" w:rsidR="001C1E0D" w:rsidRPr="001C1E0D" w:rsidRDefault="001C1E0D" w:rsidP="001C1E0D">
            <w:pPr>
              <w:pStyle w:val="RTOWorksBodyText"/>
            </w:pPr>
            <w:r w:rsidRPr="001C1E0D">
              <w:t>Refund of 90% of all other fees.</w:t>
            </w:r>
          </w:p>
        </w:tc>
      </w:tr>
      <w:tr w:rsidR="001C1E0D" w14:paraId="0D29DA21" w14:textId="77777777" w:rsidTr="00293570">
        <w:tc>
          <w:tcPr>
            <w:tcW w:w="4530" w:type="dxa"/>
          </w:tcPr>
          <w:p w14:paraId="2BD25398" w14:textId="4C1AE0B9" w:rsidR="001C1E0D" w:rsidRPr="001C1E0D" w:rsidRDefault="001C1E0D" w:rsidP="001C1E0D">
            <w:pPr>
              <w:pStyle w:val="RTOWorksBodyText"/>
            </w:pPr>
            <w:r w:rsidRPr="001C1E0D">
              <w:t>The student does not commence on the agreed start date and has not previously withdrawn.</w:t>
            </w:r>
          </w:p>
        </w:tc>
        <w:tc>
          <w:tcPr>
            <w:tcW w:w="4530" w:type="dxa"/>
          </w:tcPr>
          <w:p w14:paraId="39B5A6E6" w14:textId="77777777" w:rsidR="001C1E0D" w:rsidRPr="001C1E0D" w:rsidRDefault="001C1E0D" w:rsidP="001C1E0D">
            <w:pPr>
              <w:pStyle w:val="RTOWorksBodyText"/>
            </w:pPr>
            <w:r w:rsidRPr="001C1E0D">
              <w:t xml:space="preserve">No refund. </w:t>
            </w:r>
          </w:p>
          <w:p w14:paraId="59FAFF88" w14:textId="08D09DD3" w:rsidR="001C1E0D" w:rsidRPr="001C1E0D" w:rsidRDefault="001C1E0D" w:rsidP="001C1E0D">
            <w:pPr>
              <w:pStyle w:val="RTOWorksBodyText"/>
            </w:pPr>
            <w:r w:rsidRPr="001C1E0D">
              <w:t xml:space="preserve">Fees for full study period (term) to be paid. </w:t>
            </w:r>
          </w:p>
        </w:tc>
      </w:tr>
      <w:tr w:rsidR="001C1E0D" w14:paraId="1ABFD3EA" w14:textId="77777777" w:rsidTr="00293570">
        <w:tc>
          <w:tcPr>
            <w:tcW w:w="4530" w:type="dxa"/>
          </w:tcPr>
          <w:p w14:paraId="19A1CFAD" w14:textId="20E39479" w:rsidR="001C1E0D" w:rsidRPr="001C1E0D" w:rsidRDefault="001C1E0D" w:rsidP="001C1E0D">
            <w:pPr>
              <w:pStyle w:val="RTOWorksBodyText"/>
            </w:pPr>
            <w:r w:rsidRPr="001C1E0D">
              <w:t>Student withdraws after commencement.</w:t>
            </w:r>
          </w:p>
        </w:tc>
        <w:tc>
          <w:tcPr>
            <w:tcW w:w="4530" w:type="dxa"/>
          </w:tcPr>
          <w:p w14:paraId="4EB66868" w14:textId="77777777" w:rsidR="001C1E0D" w:rsidRPr="001C1E0D" w:rsidRDefault="001C1E0D" w:rsidP="001C1E0D">
            <w:pPr>
              <w:pStyle w:val="RTOWorksBodyText"/>
            </w:pPr>
            <w:r w:rsidRPr="001C1E0D">
              <w:t xml:space="preserve">No refund. </w:t>
            </w:r>
          </w:p>
          <w:p w14:paraId="3A278FAE" w14:textId="46D03479" w:rsidR="001C1E0D" w:rsidRPr="001C1E0D" w:rsidRDefault="001C1E0D" w:rsidP="001C1E0D">
            <w:pPr>
              <w:pStyle w:val="RTOWorksBodyText"/>
            </w:pPr>
            <w:r w:rsidRPr="001C1E0D">
              <w:t xml:space="preserve">Fees for full study period (term) to be paid. </w:t>
            </w:r>
          </w:p>
        </w:tc>
      </w:tr>
      <w:tr w:rsidR="001C1E0D" w14:paraId="5A24EA8C" w14:textId="77777777" w:rsidTr="00293570">
        <w:tc>
          <w:tcPr>
            <w:tcW w:w="4530" w:type="dxa"/>
          </w:tcPr>
          <w:p w14:paraId="5923ABE3" w14:textId="3C79E5DE" w:rsidR="001C1E0D" w:rsidRPr="001C1E0D" w:rsidRDefault="001C1E0D" w:rsidP="001C1E0D">
            <w:pPr>
              <w:pStyle w:val="RTOWorksBodyText"/>
            </w:pPr>
            <w:r w:rsidRPr="001C1E0D">
              <w:t>Student’s enrolment is cancelled due to disciplinary action.</w:t>
            </w:r>
          </w:p>
        </w:tc>
        <w:tc>
          <w:tcPr>
            <w:tcW w:w="4530" w:type="dxa"/>
          </w:tcPr>
          <w:p w14:paraId="2B743C4F" w14:textId="77777777" w:rsidR="001C1E0D" w:rsidRPr="001C1E0D" w:rsidRDefault="001C1E0D" w:rsidP="001C1E0D">
            <w:pPr>
              <w:pStyle w:val="RTOWorksBodyText"/>
            </w:pPr>
            <w:r w:rsidRPr="001C1E0D">
              <w:t xml:space="preserve">No refund. </w:t>
            </w:r>
          </w:p>
          <w:p w14:paraId="4886101C" w14:textId="253A6131" w:rsidR="001C1E0D" w:rsidRPr="001C1E0D" w:rsidRDefault="001C1E0D" w:rsidP="001C1E0D">
            <w:pPr>
              <w:pStyle w:val="RTOWorksBodyText"/>
            </w:pPr>
            <w:r w:rsidRPr="001C1E0D">
              <w:t xml:space="preserve">Fees for full study period (term) to be paid. </w:t>
            </w:r>
          </w:p>
        </w:tc>
      </w:tr>
      <w:tr w:rsidR="001C1E0D" w14:paraId="5F15A6FE" w14:textId="77777777" w:rsidTr="00293570">
        <w:tc>
          <w:tcPr>
            <w:tcW w:w="4530" w:type="dxa"/>
          </w:tcPr>
          <w:p w14:paraId="5546D7AC" w14:textId="4BAF5B02" w:rsidR="001C1E0D" w:rsidRPr="001C1E0D" w:rsidRDefault="001C1E0D" w:rsidP="001C1E0D">
            <w:pPr>
              <w:pStyle w:val="RTOWorksBodyText"/>
            </w:pPr>
            <w:r w:rsidRPr="001C1E0D">
              <w:t>Student breaches a visa condition.</w:t>
            </w:r>
          </w:p>
        </w:tc>
        <w:tc>
          <w:tcPr>
            <w:tcW w:w="4530" w:type="dxa"/>
          </w:tcPr>
          <w:p w14:paraId="19CCC105" w14:textId="21433D23" w:rsidR="001C1E0D" w:rsidRPr="001C1E0D" w:rsidRDefault="001C1E0D" w:rsidP="001C1E0D">
            <w:pPr>
              <w:pStyle w:val="RTOWorksBodyText"/>
            </w:pPr>
            <w:r w:rsidRPr="001C1E0D">
              <w:t xml:space="preserve">No refund. Fees for full study period (term) to be paid. </w:t>
            </w:r>
          </w:p>
        </w:tc>
      </w:tr>
      <w:tr w:rsidR="001C1E0D" w14:paraId="63779280" w14:textId="77777777" w:rsidTr="00293570">
        <w:tc>
          <w:tcPr>
            <w:tcW w:w="4530" w:type="dxa"/>
          </w:tcPr>
          <w:p w14:paraId="5CB457BB" w14:textId="58842D3C" w:rsidR="001C1E0D" w:rsidRPr="00944725" w:rsidRDefault="001C1E0D" w:rsidP="001C1E0D">
            <w:pPr>
              <w:pStyle w:val="RTOWorksBodyText"/>
            </w:pPr>
            <w:r w:rsidRPr="00944725">
              <w:t xml:space="preserve">The student has supplied incorrect or incomplete information causing </w:t>
            </w:r>
            <w:r w:rsidR="004F797A" w:rsidRPr="00944725">
              <w:t>National Institute of Science</w:t>
            </w:r>
            <w:r w:rsidRPr="00944725">
              <w:t xml:space="preserve"> to withdraw the offer of the course prior to commencement.</w:t>
            </w:r>
          </w:p>
        </w:tc>
        <w:tc>
          <w:tcPr>
            <w:tcW w:w="4530" w:type="dxa"/>
          </w:tcPr>
          <w:p w14:paraId="601C6FAD" w14:textId="77777777" w:rsidR="001C1E0D" w:rsidRPr="00944725" w:rsidRDefault="001C1E0D" w:rsidP="001C1E0D">
            <w:pPr>
              <w:pStyle w:val="RTOWorksBodyText"/>
            </w:pPr>
            <w:r w:rsidRPr="00944725">
              <w:t xml:space="preserve">No refund. </w:t>
            </w:r>
          </w:p>
          <w:p w14:paraId="0D968BA3" w14:textId="3DF533E9" w:rsidR="001C1E0D" w:rsidRPr="00944725" w:rsidRDefault="001C1E0D" w:rsidP="001C1E0D">
            <w:pPr>
              <w:pStyle w:val="RTOWorksBodyText"/>
            </w:pPr>
            <w:r w:rsidRPr="00944725">
              <w:t xml:space="preserve">Fees for full study period (term) to be paid. </w:t>
            </w:r>
          </w:p>
        </w:tc>
      </w:tr>
      <w:tr w:rsidR="001C1E0D" w14:paraId="62B17E72" w14:textId="77777777" w:rsidTr="00293570">
        <w:tc>
          <w:tcPr>
            <w:tcW w:w="4530" w:type="dxa"/>
          </w:tcPr>
          <w:p w14:paraId="7D3C31BB" w14:textId="5B4BC8DD" w:rsidR="001C1E0D" w:rsidRPr="00944725" w:rsidRDefault="001C1E0D" w:rsidP="001C1E0D">
            <w:pPr>
              <w:pStyle w:val="RTOWorksBodyText"/>
            </w:pPr>
            <w:r w:rsidRPr="00944725">
              <w:t xml:space="preserve">The student is refused a visa because they did not start their course at the agreed location on the agreed starting day or they withdrew from their course with </w:t>
            </w:r>
            <w:r w:rsidR="004F797A" w:rsidRPr="00944725">
              <w:t xml:space="preserve">National Institute of </w:t>
            </w:r>
            <w:proofErr w:type="gramStart"/>
            <w:r w:rsidR="004F797A" w:rsidRPr="00944725">
              <w:t>Science</w:t>
            </w:r>
            <w:proofErr w:type="gramEnd"/>
            <w:r w:rsidRPr="00944725">
              <w:t xml:space="preserve"> or they did not pay an amount due. </w:t>
            </w:r>
          </w:p>
        </w:tc>
        <w:tc>
          <w:tcPr>
            <w:tcW w:w="4530" w:type="dxa"/>
          </w:tcPr>
          <w:p w14:paraId="4DD16DCB" w14:textId="77777777" w:rsidR="001C1E0D" w:rsidRPr="00944725" w:rsidRDefault="001C1E0D" w:rsidP="001C1E0D">
            <w:pPr>
              <w:pStyle w:val="RTOWorksBodyText"/>
            </w:pPr>
            <w:r w:rsidRPr="00944725">
              <w:t xml:space="preserve">No refund. </w:t>
            </w:r>
          </w:p>
          <w:p w14:paraId="094CCF18" w14:textId="766DE301" w:rsidR="001C1E0D" w:rsidRPr="00944725" w:rsidRDefault="001C1E0D" w:rsidP="001C1E0D">
            <w:pPr>
              <w:pStyle w:val="RTOWorksBodyText"/>
            </w:pPr>
            <w:r w:rsidRPr="00944725">
              <w:t xml:space="preserve">Fees for full study period (term) to be paid. </w:t>
            </w:r>
          </w:p>
        </w:tc>
      </w:tr>
      <w:tr w:rsidR="00B50EE0" w14:paraId="7C3EA58C" w14:textId="77777777" w:rsidTr="00293570">
        <w:tc>
          <w:tcPr>
            <w:tcW w:w="4530" w:type="dxa"/>
          </w:tcPr>
          <w:p w14:paraId="4E4CB421" w14:textId="70AAA189" w:rsidR="00B50EE0" w:rsidRPr="00944725" w:rsidRDefault="00B50EE0" w:rsidP="00B50EE0">
            <w:pPr>
              <w:pStyle w:val="RTOWorksBodyText"/>
            </w:pPr>
            <w:r w:rsidRPr="00944725">
              <w:t>The student is refused a visa and therefore does not commence their course on the agreed starting day or withdraws from the course on or before the agreed starting day because of the visa refusal.</w:t>
            </w:r>
          </w:p>
        </w:tc>
        <w:tc>
          <w:tcPr>
            <w:tcW w:w="4530" w:type="dxa"/>
          </w:tcPr>
          <w:p w14:paraId="01473C12" w14:textId="77777777" w:rsidR="00B50EE0" w:rsidRPr="00944725" w:rsidRDefault="00B50EE0" w:rsidP="00B50EE0">
            <w:pPr>
              <w:pStyle w:val="RTOWorksBodyText"/>
            </w:pPr>
            <w:r w:rsidRPr="00944725">
              <w:t>The refund amount is calculated as follows:</w:t>
            </w:r>
          </w:p>
          <w:p w14:paraId="24D82DE5" w14:textId="77777777" w:rsidR="00B50EE0" w:rsidRPr="00944725" w:rsidRDefault="00B50EE0" w:rsidP="00B50EE0">
            <w:pPr>
              <w:pStyle w:val="RTOWorksBodyText"/>
            </w:pPr>
            <w:r w:rsidRPr="00944725">
              <w:t>The total amount of all course fees received before the default day minus either 5% of the amount of course fees or $500 – whichever is the lesser amount.</w:t>
            </w:r>
          </w:p>
          <w:p w14:paraId="6FA73239" w14:textId="14657C3E" w:rsidR="00B50EE0" w:rsidRPr="00944725" w:rsidRDefault="00B50EE0" w:rsidP="00B50EE0">
            <w:pPr>
              <w:pStyle w:val="RTOWorksBodyText"/>
            </w:pPr>
            <w:r w:rsidRPr="00944725">
              <w:rPr>
                <w:i/>
                <w:iCs/>
              </w:rPr>
              <w:t>As an example, to illustrate this, if Raj has paid $1,500 in course fees but has his visa refused, 5% of $1,500 is $75. As this is a lesser amount than $500 this is what will be paid as a refund i.e., the refund amount will be $1,425.</w:t>
            </w:r>
          </w:p>
        </w:tc>
      </w:tr>
      <w:tr w:rsidR="00B50EE0" w14:paraId="013B463D" w14:textId="77777777" w:rsidTr="00293570">
        <w:tc>
          <w:tcPr>
            <w:tcW w:w="4530" w:type="dxa"/>
          </w:tcPr>
          <w:p w14:paraId="0A61DAFB" w14:textId="7AE13D00" w:rsidR="00B50EE0" w:rsidRPr="001C1E0D" w:rsidRDefault="00B50EE0" w:rsidP="00B50EE0">
            <w:pPr>
              <w:pStyle w:val="RTOWorksBodyText"/>
            </w:pPr>
            <w:r w:rsidRPr="001C1E0D">
              <w:t>The student is refused a visa and has already commenced their course.</w:t>
            </w:r>
          </w:p>
        </w:tc>
        <w:tc>
          <w:tcPr>
            <w:tcW w:w="4530" w:type="dxa"/>
          </w:tcPr>
          <w:p w14:paraId="2B1956AD" w14:textId="77777777" w:rsidR="00B50EE0" w:rsidRPr="0022392F" w:rsidRDefault="00B50EE0" w:rsidP="00B50EE0">
            <w:pPr>
              <w:pStyle w:val="RTOWorksBodyText"/>
            </w:pPr>
            <w:r w:rsidRPr="0022392F">
              <w:t>The refund amount is calculated as follows:</w:t>
            </w:r>
          </w:p>
          <w:p w14:paraId="061EF8E4" w14:textId="77777777" w:rsidR="00B50EE0" w:rsidRPr="0022392F" w:rsidRDefault="00B50EE0" w:rsidP="00B50EE0">
            <w:pPr>
              <w:pStyle w:val="RTOWorksBodyText"/>
            </w:pPr>
            <w:r w:rsidRPr="0022392F">
              <w:t>The weekly tuition fee x weeks in the default period.</w:t>
            </w:r>
          </w:p>
          <w:p w14:paraId="6D3EE9FA" w14:textId="77777777" w:rsidR="00B50EE0" w:rsidRPr="0022392F" w:rsidRDefault="00B50EE0" w:rsidP="00B50EE0">
            <w:pPr>
              <w:pStyle w:val="RTOWorksBodyText"/>
              <w:rPr>
                <w:i/>
                <w:iCs/>
              </w:rPr>
            </w:pPr>
            <w:r w:rsidRPr="0022392F">
              <w:rPr>
                <w:i/>
                <w:iCs/>
              </w:rPr>
              <w:t xml:space="preserve">As an example, to illustrate this, Raj is studying a 40-week course. Each term is 10 weeks. The total fees for Raj’s course are $10,000 in </w:t>
            </w:r>
            <w:r>
              <w:rPr>
                <w:i/>
                <w:iCs/>
              </w:rPr>
              <w:t>course</w:t>
            </w:r>
            <w:r w:rsidRPr="0022392F">
              <w:rPr>
                <w:i/>
                <w:iCs/>
              </w:rPr>
              <w:t xml:space="preserve"> fees and $500 in material fees. Raj pays the first term’s </w:t>
            </w:r>
            <w:r>
              <w:rPr>
                <w:i/>
                <w:iCs/>
              </w:rPr>
              <w:t>course</w:t>
            </w:r>
            <w:r w:rsidRPr="0022392F">
              <w:rPr>
                <w:i/>
                <w:iCs/>
              </w:rPr>
              <w:t xml:space="preserve"> fees of $2,500 plus </w:t>
            </w:r>
            <w:r>
              <w:rPr>
                <w:i/>
                <w:iCs/>
              </w:rPr>
              <w:t>the material fee of</w:t>
            </w:r>
            <w:r w:rsidRPr="0022392F">
              <w:rPr>
                <w:i/>
                <w:iCs/>
              </w:rPr>
              <w:t xml:space="preserve"> $500. However, Raj completes 2 weeks (14 days) of his course but then has his visa refused.</w:t>
            </w:r>
          </w:p>
          <w:p w14:paraId="21A30549" w14:textId="77777777" w:rsidR="00B50EE0" w:rsidRPr="0022392F" w:rsidRDefault="00B50EE0" w:rsidP="00B50EE0">
            <w:pPr>
              <w:pStyle w:val="RTOWorksBodyText"/>
              <w:rPr>
                <w:i/>
                <w:iCs/>
              </w:rPr>
            </w:pPr>
            <w:r w:rsidRPr="0022392F">
              <w:rPr>
                <w:i/>
                <w:iCs/>
              </w:rPr>
              <w:t xml:space="preserve">The weekly </w:t>
            </w:r>
            <w:r>
              <w:rPr>
                <w:i/>
                <w:iCs/>
              </w:rPr>
              <w:t xml:space="preserve">course </w:t>
            </w:r>
            <w:r w:rsidRPr="0022392F">
              <w:rPr>
                <w:i/>
                <w:iCs/>
              </w:rPr>
              <w:t>fees for this course amount to $250 per week.</w:t>
            </w:r>
          </w:p>
          <w:p w14:paraId="060E7B25" w14:textId="77777777" w:rsidR="00B50EE0" w:rsidRPr="0022392F" w:rsidRDefault="00B50EE0" w:rsidP="00B50EE0">
            <w:pPr>
              <w:pStyle w:val="RTOWorksBodyText"/>
              <w:rPr>
                <w:i/>
                <w:iCs/>
              </w:rPr>
            </w:pPr>
            <w:r w:rsidRPr="0022392F">
              <w:rPr>
                <w:i/>
                <w:iCs/>
              </w:rPr>
              <w:t xml:space="preserve">The number of weeks in the default period is 8 weeks (56 days) i.e., to the end of the first term.   </w:t>
            </w:r>
          </w:p>
          <w:p w14:paraId="671A910B" w14:textId="7496E1B3" w:rsidR="00B50EE0" w:rsidRPr="001C1E0D" w:rsidRDefault="00B50EE0" w:rsidP="00B50EE0">
            <w:pPr>
              <w:pStyle w:val="RTOWorksBodyText"/>
            </w:pPr>
            <w:r w:rsidRPr="0022392F">
              <w:rPr>
                <w:i/>
                <w:iCs/>
              </w:rPr>
              <w:t>Raj is therefore eligible to receive a refund of $2,000 i.e., the weekly</w:t>
            </w:r>
            <w:r>
              <w:rPr>
                <w:i/>
                <w:iCs/>
              </w:rPr>
              <w:t xml:space="preserve"> course</w:t>
            </w:r>
            <w:r w:rsidRPr="0022392F">
              <w:rPr>
                <w:i/>
                <w:iCs/>
              </w:rPr>
              <w:t xml:space="preserve"> fees of $250 x the number for weeks in the default period of 8 weeks. Raj won’t be eligible to have the </w:t>
            </w:r>
            <w:r>
              <w:rPr>
                <w:i/>
                <w:iCs/>
              </w:rPr>
              <w:t>material</w:t>
            </w:r>
            <w:r w:rsidRPr="0022392F">
              <w:rPr>
                <w:i/>
                <w:iCs/>
              </w:rPr>
              <w:t xml:space="preserve"> fees refunded.</w:t>
            </w:r>
          </w:p>
        </w:tc>
      </w:tr>
    </w:tbl>
    <w:p w14:paraId="7E10F81E" w14:textId="77777777" w:rsidR="0069044F" w:rsidRPr="006739CB" w:rsidRDefault="0069044F" w:rsidP="00E9333A">
      <w:pPr>
        <w:pStyle w:val="RTOWorksHeading3"/>
      </w:pPr>
      <w:r w:rsidRPr="006739CB">
        <w:t>Procedures</w:t>
      </w:r>
    </w:p>
    <w:tbl>
      <w:tblPr>
        <w:tblW w:w="9072" w:type="dxa"/>
        <w:tblLook w:val="04A0" w:firstRow="1" w:lastRow="0" w:firstColumn="1" w:lastColumn="0" w:noHBand="0" w:noVBand="1"/>
      </w:tblPr>
      <w:tblGrid>
        <w:gridCol w:w="709"/>
        <w:gridCol w:w="8363"/>
      </w:tblGrid>
      <w:tr w:rsidR="002372B3" w:rsidRPr="006739CB" w14:paraId="36919903" w14:textId="77777777" w:rsidTr="004C7785">
        <w:tc>
          <w:tcPr>
            <w:tcW w:w="9060" w:type="dxa"/>
            <w:gridSpan w:val="2"/>
            <w:shd w:val="clear" w:color="auto" w:fill="C2E3EC"/>
          </w:tcPr>
          <w:p w14:paraId="15AD5B3B" w14:textId="5ACAAB55" w:rsidR="002372B3" w:rsidRPr="006739CB" w:rsidRDefault="002372B3" w:rsidP="00FC3DB4">
            <w:pPr>
              <w:pStyle w:val="RTOWorksTableHeader"/>
            </w:pPr>
            <w:r w:rsidRPr="006739CB">
              <w:t>1</w:t>
            </w:r>
            <w:r w:rsidR="00FC3DB4">
              <w:t xml:space="preserve">. </w:t>
            </w:r>
            <w:r w:rsidRPr="006739CB">
              <w:t>Process invoices</w:t>
            </w:r>
          </w:p>
        </w:tc>
      </w:tr>
      <w:tr w:rsidR="00387072" w:rsidRPr="006739CB" w14:paraId="46BA82B8" w14:textId="77777777" w:rsidTr="00732EFD">
        <w:trPr>
          <w:trHeight w:val="20"/>
        </w:trPr>
        <w:tc>
          <w:tcPr>
            <w:tcW w:w="709" w:type="dxa"/>
          </w:tcPr>
          <w:p w14:paraId="0AA7D2DF" w14:textId="77777777" w:rsidR="00387072" w:rsidRPr="006739CB" w:rsidRDefault="00387072" w:rsidP="00387072">
            <w:pPr>
              <w:pStyle w:val="RTOWorksBodyText"/>
              <w:jc w:val="right"/>
            </w:pPr>
            <w:r w:rsidRPr="006739CB">
              <w:t>1.1</w:t>
            </w:r>
          </w:p>
        </w:tc>
        <w:tc>
          <w:tcPr>
            <w:tcW w:w="8363" w:type="dxa"/>
          </w:tcPr>
          <w:p w14:paraId="63517320" w14:textId="69533BAB" w:rsidR="00387072" w:rsidRPr="006739CB" w:rsidRDefault="00387072" w:rsidP="00387072">
            <w:pPr>
              <w:pStyle w:val="RTOWorksBodyText"/>
            </w:pPr>
            <w:r w:rsidRPr="002B5912">
              <w:t>Set up invoices in the accounting system as per the payment schedule in the signed Offer Letter and Student Agreement.</w:t>
            </w:r>
          </w:p>
        </w:tc>
      </w:tr>
      <w:tr w:rsidR="00387072" w:rsidRPr="006739CB" w14:paraId="2A2C5E4C" w14:textId="77777777" w:rsidTr="00732EFD">
        <w:trPr>
          <w:trHeight w:val="20"/>
        </w:trPr>
        <w:tc>
          <w:tcPr>
            <w:tcW w:w="709" w:type="dxa"/>
          </w:tcPr>
          <w:p w14:paraId="7C359C7D" w14:textId="77777777" w:rsidR="00387072" w:rsidRPr="006739CB" w:rsidRDefault="00387072" w:rsidP="00387072">
            <w:pPr>
              <w:pStyle w:val="RTOWorksBodyText"/>
              <w:jc w:val="right"/>
            </w:pPr>
            <w:r w:rsidRPr="006739CB">
              <w:t>1.2</w:t>
            </w:r>
          </w:p>
        </w:tc>
        <w:tc>
          <w:tcPr>
            <w:tcW w:w="8363" w:type="dxa"/>
          </w:tcPr>
          <w:p w14:paraId="2FC16AD6" w14:textId="5968A743" w:rsidR="00387072" w:rsidRPr="006739CB" w:rsidRDefault="00387072" w:rsidP="00387072">
            <w:pPr>
              <w:pStyle w:val="RTOWorksBodyText"/>
              <w:rPr>
                <w:color w:val="000000" w:themeColor="text1"/>
              </w:rPr>
            </w:pPr>
            <w:r w:rsidRPr="002B5912">
              <w:t xml:space="preserve">Send out invoices to students according to the payment schedule. </w:t>
            </w:r>
          </w:p>
        </w:tc>
      </w:tr>
      <w:tr w:rsidR="00387072" w:rsidRPr="006739CB" w14:paraId="0BA6DE27" w14:textId="77777777" w:rsidTr="00732EFD">
        <w:trPr>
          <w:trHeight w:val="20"/>
        </w:trPr>
        <w:tc>
          <w:tcPr>
            <w:tcW w:w="709" w:type="dxa"/>
          </w:tcPr>
          <w:p w14:paraId="032A5930" w14:textId="77777777" w:rsidR="00387072" w:rsidRPr="006739CB" w:rsidRDefault="00387072" w:rsidP="00387072">
            <w:pPr>
              <w:pStyle w:val="RTOWorksBodyText"/>
              <w:jc w:val="right"/>
            </w:pPr>
            <w:r w:rsidRPr="006739CB">
              <w:t>1.3</w:t>
            </w:r>
          </w:p>
        </w:tc>
        <w:tc>
          <w:tcPr>
            <w:tcW w:w="8363" w:type="dxa"/>
          </w:tcPr>
          <w:p w14:paraId="0AAC362C" w14:textId="67063124" w:rsidR="00387072" w:rsidRPr="006739CB" w:rsidRDefault="00387072" w:rsidP="00387072">
            <w:pPr>
              <w:pStyle w:val="RTOWorksBodyText"/>
            </w:pPr>
            <w:r w:rsidRPr="002B5912">
              <w:t xml:space="preserve">Once the invoice has been paid, send out a receipt of payment from the accounting system. </w:t>
            </w:r>
          </w:p>
        </w:tc>
      </w:tr>
      <w:tr w:rsidR="00387072" w:rsidRPr="006739CB" w14:paraId="29BADB7F" w14:textId="77777777" w:rsidTr="00732EFD">
        <w:trPr>
          <w:trHeight w:val="20"/>
        </w:trPr>
        <w:tc>
          <w:tcPr>
            <w:tcW w:w="709" w:type="dxa"/>
          </w:tcPr>
          <w:p w14:paraId="1BA53010" w14:textId="77777777" w:rsidR="00387072" w:rsidRPr="006739CB" w:rsidRDefault="00387072" w:rsidP="00387072">
            <w:pPr>
              <w:pStyle w:val="RTOWorksBodyText"/>
              <w:jc w:val="right"/>
            </w:pPr>
            <w:r w:rsidRPr="006739CB">
              <w:t>1.4</w:t>
            </w:r>
          </w:p>
        </w:tc>
        <w:tc>
          <w:tcPr>
            <w:tcW w:w="8363" w:type="dxa"/>
          </w:tcPr>
          <w:p w14:paraId="2B319F59" w14:textId="2D8C2B56" w:rsidR="00387072" w:rsidRPr="006739CB" w:rsidRDefault="00387072" w:rsidP="00387072">
            <w:pPr>
              <w:pStyle w:val="RTOWorksBodyText"/>
            </w:pPr>
            <w:r w:rsidRPr="002B5912">
              <w:t xml:space="preserve">Record payment in PRISMS following recording payment instructions included in the PRISMS user guide.  </w:t>
            </w:r>
          </w:p>
        </w:tc>
      </w:tr>
      <w:tr w:rsidR="00387072" w:rsidRPr="006739CB" w14:paraId="1FDF5B64" w14:textId="77777777" w:rsidTr="00732EFD">
        <w:trPr>
          <w:trHeight w:val="20"/>
        </w:trPr>
        <w:tc>
          <w:tcPr>
            <w:tcW w:w="709" w:type="dxa"/>
          </w:tcPr>
          <w:p w14:paraId="00835987" w14:textId="77777777" w:rsidR="00387072" w:rsidRPr="006739CB" w:rsidRDefault="00387072" w:rsidP="00387072">
            <w:pPr>
              <w:pStyle w:val="RTOWorksBodyText"/>
              <w:jc w:val="right"/>
            </w:pPr>
            <w:r w:rsidRPr="006739CB">
              <w:t>1.5</w:t>
            </w:r>
          </w:p>
        </w:tc>
        <w:tc>
          <w:tcPr>
            <w:tcW w:w="8363" w:type="dxa"/>
          </w:tcPr>
          <w:p w14:paraId="4A0E40F9" w14:textId="14539C35" w:rsidR="00387072" w:rsidRPr="006739CB" w:rsidRDefault="00387072" w:rsidP="00387072">
            <w:pPr>
              <w:pStyle w:val="RTOWorksBodyText"/>
            </w:pPr>
            <w:r w:rsidRPr="002B5912">
              <w:t xml:space="preserve">Keep all receipts of payments for a minimum of 2 years after the student has completed their course. </w:t>
            </w:r>
          </w:p>
        </w:tc>
      </w:tr>
      <w:tr w:rsidR="002372B3" w:rsidRPr="006739CB" w14:paraId="6A932F56" w14:textId="77777777" w:rsidTr="004C7785">
        <w:tc>
          <w:tcPr>
            <w:tcW w:w="9060" w:type="dxa"/>
            <w:gridSpan w:val="2"/>
            <w:shd w:val="clear" w:color="auto" w:fill="C2E3EC"/>
          </w:tcPr>
          <w:p w14:paraId="04FCA002" w14:textId="4F229793" w:rsidR="002372B3" w:rsidRPr="00732EFD" w:rsidRDefault="002372B3" w:rsidP="00FC3DB4">
            <w:pPr>
              <w:pStyle w:val="RTOWorksTableHeader"/>
            </w:pPr>
            <w:r w:rsidRPr="006739CB">
              <w:t>2</w:t>
            </w:r>
            <w:r w:rsidR="00732EFD">
              <w:t xml:space="preserve">. </w:t>
            </w:r>
            <w:r w:rsidRPr="006739CB">
              <w:t>Manage overdue fees</w:t>
            </w:r>
          </w:p>
        </w:tc>
      </w:tr>
      <w:tr w:rsidR="0069044F" w:rsidRPr="006739CB" w14:paraId="7148C592" w14:textId="77777777" w:rsidTr="00732EFD">
        <w:trPr>
          <w:trHeight w:val="20"/>
        </w:trPr>
        <w:tc>
          <w:tcPr>
            <w:tcW w:w="709" w:type="dxa"/>
          </w:tcPr>
          <w:p w14:paraId="2B8BE271" w14:textId="77777777" w:rsidR="0069044F" w:rsidRPr="006739CB" w:rsidRDefault="0069044F" w:rsidP="004C7785">
            <w:pPr>
              <w:pStyle w:val="RTOWorksBodyText"/>
              <w:jc w:val="right"/>
            </w:pPr>
            <w:r w:rsidRPr="006739CB">
              <w:t>2.1</w:t>
            </w:r>
          </w:p>
        </w:tc>
        <w:tc>
          <w:tcPr>
            <w:tcW w:w="8363" w:type="dxa"/>
          </w:tcPr>
          <w:p w14:paraId="307AC79E" w14:textId="77777777" w:rsidR="0069044F" w:rsidRPr="006739CB" w:rsidRDefault="0069044F" w:rsidP="00293570">
            <w:pPr>
              <w:pStyle w:val="RTOWorksBodyText"/>
            </w:pPr>
            <w:r w:rsidRPr="006739CB">
              <w:t>Check accounting system for overdue payments.</w:t>
            </w:r>
          </w:p>
        </w:tc>
      </w:tr>
      <w:tr w:rsidR="0069044F" w:rsidRPr="006739CB" w14:paraId="67C1EC65" w14:textId="77777777" w:rsidTr="00732EFD">
        <w:trPr>
          <w:trHeight w:val="20"/>
        </w:trPr>
        <w:tc>
          <w:tcPr>
            <w:tcW w:w="709" w:type="dxa"/>
          </w:tcPr>
          <w:p w14:paraId="0FD075B1" w14:textId="77777777" w:rsidR="0069044F" w:rsidRPr="006739CB" w:rsidRDefault="0069044F" w:rsidP="004C7785">
            <w:pPr>
              <w:pStyle w:val="RTOWorksBodyText"/>
              <w:jc w:val="right"/>
            </w:pPr>
            <w:r w:rsidRPr="006739CB">
              <w:t>2.2</w:t>
            </w:r>
          </w:p>
        </w:tc>
        <w:tc>
          <w:tcPr>
            <w:tcW w:w="8363" w:type="dxa"/>
          </w:tcPr>
          <w:p w14:paraId="4B3FC052" w14:textId="77777777" w:rsidR="0069044F" w:rsidRPr="006739CB" w:rsidRDefault="0069044F" w:rsidP="00293570">
            <w:pPr>
              <w:pStyle w:val="RTOWorksBodyText"/>
              <w:rPr>
                <w:color w:val="000000" w:themeColor="text1"/>
              </w:rPr>
            </w:pPr>
            <w:r w:rsidRPr="006739CB">
              <w:t xml:space="preserve">Send out a payment reminder through the accounting system for overdue fees. Give a further 5 days for payment. </w:t>
            </w:r>
          </w:p>
        </w:tc>
      </w:tr>
      <w:tr w:rsidR="0069044F" w:rsidRPr="006739CB" w14:paraId="02601D79" w14:textId="77777777" w:rsidTr="00732EFD">
        <w:trPr>
          <w:trHeight w:val="20"/>
        </w:trPr>
        <w:tc>
          <w:tcPr>
            <w:tcW w:w="709" w:type="dxa"/>
          </w:tcPr>
          <w:p w14:paraId="1596BA08" w14:textId="77777777" w:rsidR="0069044F" w:rsidRPr="006739CB" w:rsidRDefault="0069044F" w:rsidP="004C7785">
            <w:pPr>
              <w:pStyle w:val="RTOWorksBodyText"/>
              <w:jc w:val="right"/>
            </w:pPr>
            <w:r w:rsidRPr="006739CB">
              <w:t>2.3</w:t>
            </w:r>
          </w:p>
        </w:tc>
        <w:tc>
          <w:tcPr>
            <w:tcW w:w="8363" w:type="dxa"/>
          </w:tcPr>
          <w:p w14:paraId="526B887E" w14:textId="3F395F2C" w:rsidR="0069044F" w:rsidRPr="006739CB" w:rsidRDefault="0069044F" w:rsidP="00293570">
            <w:pPr>
              <w:pStyle w:val="RTOWorksBodyText"/>
            </w:pPr>
            <w:r w:rsidRPr="006739CB">
              <w:t xml:space="preserve">Where invoices remain unpaid following the reminder, send out a First Warning Letter for </w:t>
            </w:r>
            <w:r w:rsidR="006E6E3C">
              <w:t>N</w:t>
            </w:r>
            <w:r w:rsidRPr="006739CB">
              <w:t>on-</w:t>
            </w:r>
            <w:r w:rsidR="006E6E3C">
              <w:t>P</w:t>
            </w:r>
            <w:r w:rsidRPr="006739CB">
              <w:t xml:space="preserve">ayment of </w:t>
            </w:r>
            <w:r w:rsidR="006E6E3C">
              <w:t>F</w:t>
            </w:r>
            <w:r w:rsidRPr="006739CB">
              <w:t xml:space="preserve">ees. </w:t>
            </w:r>
          </w:p>
        </w:tc>
      </w:tr>
      <w:tr w:rsidR="0069044F" w:rsidRPr="006739CB" w14:paraId="25D5FC0B" w14:textId="77777777" w:rsidTr="00732EFD">
        <w:trPr>
          <w:trHeight w:val="20"/>
        </w:trPr>
        <w:tc>
          <w:tcPr>
            <w:tcW w:w="709" w:type="dxa"/>
          </w:tcPr>
          <w:p w14:paraId="3C575A50" w14:textId="77777777" w:rsidR="0069044F" w:rsidRPr="006739CB" w:rsidRDefault="0069044F" w:rsidP="004C7785">
            <w:pPr>
              <w:pStyle w:val="RTOWorksBodyText"/>
              <w:jc w:val="right"/>
            </w:pPr>
            <w:r w:rsidRPr="006739CB">
              <w:t>2.4</w:t>
            </w:r>
          </w:p>
        </w:tc>
        <w:tc>
          <w:tcPr>
            <w:tcW w:w="8363" w:type="dxa"/>
          </w:tcPr>
          <w:p w14:paraId="7E30811C" w14:textId="0D4260E6" w:rsidR="0069044F" w:rsidRPr="006739CB" w:rsidRDefault="0069044F" w:rsidP="00293570">
            <w:pPr>
              <w:pStyle w:val="RTOWorksBodyText"/>
            </w:pPr>
            <w:r w:rsidRPr="006739CB">
              <w:t xml:space="preserve">If fees remain unpaid after a further 5 days, follow up with a Second Warning Letter for </w:t>
            </w:r>
            <w:r w:rsidR="006E6E3C">
              <w:t>N</w:t>
            </w:r>
            <w:r w:rsidRPr="006739CB">
              <w:t>on-</w:t>
            </w:r>
            <w:r w:rsidR="006E6E3C">
              <w:t>P</w:t>
            </w:r>
            <w:r w:rsidRPr="006739CB">
              <w:t xml:space="preserve">ayment of </w:t>
            </w:r>
            <w:r w:rsidR="006E6E3C">
              <w:t>F</w:t>
            </w:r>
            <w:r w:rsidRPr="006739CB">
              <w:t xml:space="preserve">ees. </w:t>
            </w:r>
          </w:p>
        </w:tc>
      </w:tr>
      <w:tr w:rsidR="0069044F" w:rsidRPr="006739CB" w14:paraId="16DC1E0E" w14:textId="77777777" w:rsidTr="00732EFD">
        <w:trPr>
          <w:trHeight w:val="20"/>
        </w:trPr>
        <w:tc>
          <w:tcPr>
            <w:tcW w:w="709" w:type="dxa"/>
          </w:tcPr>
          <w:p w14:paraId="1D3308FE" w14:textId="77777777" w:rsidR="0069044F" w:rsidRPr="006739CB" w:rsidRDefault="0069044F" w:rsidP="004C7785">
            <w:pPr>
              <w:pStyle w:val="RTOWorksBodyText"/>
              <w:jc w:val="right"/>
            </w:pPr>
            <w:r w:rsidRPr="006739CB">
              <w:t>2.5</w:t>
            </w:r>
          </w:p>
        </w:tc>
        <w:tc>
          <w:tcPr>
            <w:tcW w:w="8363" w:type="dxa"/>
          </w:tcPr>
          <w:p w14:paraId="49ECA754" w14:textId="7707F3FE" w:rsidR="0069044F" w:rsidRPr="006739CB" w:rsidRDefault="0069044F" w:rsidP="00293570">
            <w:pPr>
              <w:pStyle w:val="RTOWorksBodyText"/>
            </w:pPr>
            <w:r w:rsidRPr="006739CB">
              <w:t xml:space="preserve">If fees remain unpaid after a further 5 days, follow up with a </w:t>
            </w:r>
            <w:r w:rsidR="001717EF" w:rsidRPr="001717EF">
              <w:t>Notice of Intention to Report for Non-Payment of Fees</w:t>
            </w:r>
            <w:r w:rsidRPr="006739CB">
              <w:t xml:space="preserve">. </w:t>
            </w:r>
          </w:p>
        </w:tc>
      </w:tr>
      <w:tr w:rsidR="0069044F" w:rsidRPr="006739CB" w14:paraId="049523AE" w14:textId="77777777" w:rsidTr="00732EFD">
        <w:trPr>
          <w:trHeight w:val="20"/>
        </w:trPr>
        <w:tc>
          <w:tcPr>
            <w:tcW w:w="709" w:type="dxa"/>
          </w:tcPr>
          <w:p w14:paraId="1579BF14" w14:textId="77777777" w:rsidR="0069044F" w:rsidRPr="006739CB" w:rsidRDefault="0069044F" w:rsidP="004C7785">
            <w:pPr>
              <w:pStyle w:val="RTOWorksBodyText"/>
              <w:jc w:val="right"/>
            </w:pPr>
            <w:r w:rsidRPr="006739CB">
              <w:t>2.6</w:t>
            </w:r>
          </w:p>
        </w:tc>
        <w:tc>
          <w:tcPr>
            <w:tcW w:w="8363" w:type="dxa"/>
          </w:tcPr>
          <w:p w14:paraId="7AA41A62" w14:textId="0CE31E69" w:rsidR="0069044F" w:rsidRPr="006739CB" w:rsidRDefault="0069044F" w:rsidP="00293570">
            <w:pPr>
              <w:pStyle w:val="RTOWorksBodyText"/>
            </w:pPr>
            <w:r w:rsidRPr="006739CB">
              <w:rPr>
                <w:color w:val="000000" w:themeColor="text1"/>
              </w:rPr>
              <w:t>Where the student does not pay their fees and does not appeal the decision, report provider decision to cease enrolment for non-payment of fees on PRISMS within 31 days of the withdrawal being processed and according to the instructions provided in the PRISMS user guide.</w:t>
            </w:r>
          </w:p>
        </w:tc>
      </w:tr>
      <w:tr w:rsidR="002372B3" w:rsidRPr="006739CB" w14:paraId="7523D219" w14:textId="77777777" w:rsidTr="005D109F">
        <w:tc>
          <w:tcPr>
            <w:tcW w:w="9060" w:type="dxa"/>
            <w:gridSpan w:val="2"/>
            <w:shd w:val="clear" w:color="auto" w:fill="C2E3EC"/>
          </w:tcPr>
          <w:p w14:paraId="46BDA9B1" w14:textId="7DFE7A4B" w:rsidR="002372B3" w:rsidRPr="005D109F" w:rsidRDefault="002372B3" w:rsidP="00FC3DB4">
            <w:pPr>
              <w:pStyle w:val="RTOWorksTableHeader"/>
            </w:pPr>
            <w:r w:rsidRPr="006739CB">
              <w:t>3</w:t>
            </w:r>
            <w:r w:rsidR="005D109F">
              <w:t xml:space="preserve">. </w:t>
            </w:r>
            <w:r w:rsidRPr="006739CB">
              <w:t>Process refunds</w:t>
            </w:r>
          </w:p>
        </w:tc>
      </w:tr>
      <w:tr w:rsidR="0069044F" w:rsidRPr="006739CB" w14:paraId="79254853" w14:textId="77777777" w:rsidTr="00732EFD">
        <w:trPr>
          <w:trHeight w:val="20"/>
        </w:trPr>
        <w:tc>
          <w:tcPr>
            <w:tcW w:w="709" w:type="dxa"/>
          </w:tcPr>
          <w:p w14:paraId="7A401160" w14:textId="77777777" w:rsidR="0069044F" w:rsidRPr="006739CB" w:rsidRDefault="0069044F" w:rsidP="00732EFD">
            <w:pPr>
              <w:pStyle w:val="RTOWorksBodyText"/>
              <w:jc w:val="right"/>
            </w:pPr>
            <w:r w:rsidRPr="006739CB">
              <w:t>3.1</w:t>
            </w:r>
          </w:p>
        </w:tc>
        <w:tc>
          <w:tcPr>
            <w:tcW w:w="8363" w:type="dxa"/>
          </w:tcPr>
          <w:p w14:paraId="06E7794E" w14:textId="64B4F1D0" w:rsidR="0069044F" w:rsidRPr="006739CB" w:rsidRDefault="0069044F" w:rsidP="00293570">
            <w:pPr>
              <w:pStyle w:val="RTOWorksBodyText"/>
            </w:pPr>
            <w:r w:rsidRPr="006739CB">
              <w:rPr>
                <w:szCs w:val="18"/>
              </w:rPr>
              <w:t xml:space="preserve">For provider default notify students in writing </w:t>
            </w:r>
            <w:r w:rsidR="00F602D6">
              <w:rPr>
                <w:szCs w:val="18"/>
              </w:rPr>
              <w:t>(f</w:t>
            </w:r>
            <w:r w:rsidR="001953FE">
              <w:rPr>
                <w:szCs w:val="18"/>
              </w:rPr>
              <w:t>ollowing ASQA’s gu</w:t>
            </w:r>
            <w:r w:rsidR="0018246C">
              <w:rPr>
                <w:szCs w:val="18"/>
              </w:rPr>
              <w:t>idelines for notifying students of a default</w:t>
            </w:r>
            <w:r w:rsidRPr="006739CB">
              <w:rPr>
                <w:szCs w:val="18"/>
              </w:rPr>
              <w:t xml:space="preserve"> </w:t>
            </w:r>
            <w:r w:rsidR="0018246C">
              <w:rPr>
                <w:szCs w:val="18"/>
              </w:rPr>
              <w:t xml:space="preserve">published on their website) </w:t>
            </w:r>
            <w:r w:rsidRPr="006739CB">
              <w:rPr>
                <w:szCs w:val="18"/>
              </w:rPr>
              <w:t xml:space="preserve">within 3 working days of the default occurring. </w:t>
            </w:r>
          </w:p>
        </w:tc>
      </w:tr>
      <w:tr w:rsidR="0069044F" w:rsidRPr="006739CB" w14:paraId="7F2B4ACB" w14:textId="77777777" w:rsidTr="00732EFD">
        <w:trPr>
          <w:trHeight w:val="20"/>
        </w:trPr>
        <w:tc>
          <w:tcPr>
            <w:tcW w:w="709" w:type="dxa"/>
          </w:tcPr>
          <w:p w14:paraId="265491B0" w14:textId="77777777" w:rsidR="0069044F" w:rsidRPr="006739CB" w:rsidRDefault="0069044F" w:rsidP="00732EFD">
            <w:pPr>
              <w:pStyle w:val="RTOWorksBodyText"/>
              <w:jc w:val="right"/>
            </w:pPr>
            <w:r w:rsidRPr="006739CB">
              <w:t>3.2</w:t>
            </w:r>
          </w:p>
        </w:tc>
        <w:tc>
          <w:tcPr>
            <w:tcW w:w="8363" w:type="dxa"/>
          </w:tcPr>
          <w:p w14:paraId="1565D865" w14:textId="77777777" w:rsidR="0069044F" w:rsidRPr="006739CB" w:rsidRDefault="0069044F" w:rsidP="00293570">
            <w:pPr>
              <w:pStyle w:val="RTOWorksBodyText"/>
              <w:rPr>
                <w:color w:val="000000" w:themeColor="text1"/>
              </w:rPr>
            </w:pPr>
            <w:r w:rsidRPr="006739CB">
              <w:rPr>
                <w:szCs w:val="18"/>
              </w:rPr>
              <w:t>Transfer the refund to the person who made the payment.</w:t>
            </w:r>
          </w:p>
        </w:tc>
      </w:tr>
      <w:tr w:rsidR="0069044F" w:rsidRPr="006739CB" w14:paraId="04212131" w14:textId="77777777" w:rsidTr="00732EFD">
        <w:trPr>
          <w:trHeight w:val="20"/>
        </w:trPr>
        <w:tc>
          <w:tcPr>
            <w:tcW w:w="709" w:type="dxa"/>
          </w:tcPr>
          <w:p w14:paraId="3AE13F1D" w14:textId="77777777" w:rsidR="0069044F" w:rsidRPr="006739CB" w:rsidRDefault="0069044F" w:rsidP="00732EFD">
            <w:pPr>
              <w:pStyle w:val="RTOWorksBodyText"/>
              <w:jc w:val="right"/>
            </w:pPr>
            <w:r w:rsidRPr="006739CB">
              <w:t>3.3</w:t>
            </w:r>
          </w:p>
        </w:tc>
        <w:tc>
          <w:tcPr>
            <w:tcW w:w="8363" w:type="dxa"/>
          </w:tcPr>
          <w:p w14:paraId="6E3F0EA1" w14:textId="6C537D42" w:rsidR="0069044F" w:rsidRPr="006739CB" w:rsidRDefault="0069044F" w:rsidP="00293570">
            <w:pPr>
              <w:pStyle w:val="RTOWorksBodyText"/>
              <w:rPr>
                <w:szCs w:val="18"/>
              </w:rPr>
            </w:pPr>
            <w:r w:rsidRPr="006739CB">
              <w:rPr>
                <w:szCs w:val="18"/>
              </w:rPr>
              <w:t xml:space="preserve">Process all other refunds according to the refund table and on receipt of a request for refund from a student on </w:t>
            </w:r>
            <w:r w:rsidR="00CB1DF0" w:rsidRPr="00CB1DF0">
              <w:rPr>
                <w:szCs w:val="18"/>
              </w:rPr>
              <w:t>Refund Application Form</w:t>
            </w:r>
            <w:r w:rsidRPr="006739CB">
              <w:rPr>
                <w:szCs w:val="18"/>
              </w:rPr>
              <w:t xml:space="preserve">. </w:t>
            </w:r>
          </w:p>
        </w:tc>
      </w:tr>
      <w:tr w:rsidR="0069044F" w:rsidRPr="006739CB" w14:paraId="0AE2AADE" w14:textId="77777777" w:rsidTr="00732EFD">
        <w:trPr>
          <w:trHeight w:val="20"/>
        </w:trPr>
        <w:tc>
          <w:tcPr>
            <w:tcW w:w="709" w:type="dxa"/>
          </w:tcPr>
          <w:p w14:paraId="0602FB18" w14:textId="77777777" w:rsidR="0069044F" w:rsidRPr="006739CB" w:rsidRDefault="0069044F" w:rsidP="00732EFD">
            <w:pPr>
              <w:pStyle w:val="RTOWorksBodyText"/>
              <w:jc w:val="right"/>
            </w:pPr>
            <w:r w:rsidRPr="006739CB">
              <w:t>3.4</w:t>
            </w:r>
          </w:p>
        </w:tc>
        <w:tc>
          <w:tcPr>
            <w:tcW w:w="8363" w:type="dxa"/>
          </w:tcPr>
          <w:p w14:paraId="3B67743A" w14:textId="77777777" w:rsidR="0069044F" w:rsidRPr="006739CB" w:rsidRDefault="0069044F" w:rsidP="00293570">
            <w:pPr>
              <w:pStyle w:val="RTOWorksBodyText"/>
              <w:rPr>
                <w:szCs w:val="18"/>
              </w:rPr>
            </w:pPr>
            <w:r w:rsidRPr="006739CB">
              <w:rPr>
                <w:szCs w:val="18"/>
              </w:rPr>
              <w:t>Update the accounting system with details of payments made.</w:t>
            </w:r>
          </w:p>
        </w:tc>
      </w:tr>
      <w:tr w:rsidR="002372B3" w:rsidRPr="006739CB" w14:paraId="0932C335" w14:textId="77777777" w:rsidTr="00732EFD">
        <w:tc>
          <w:tcPr>
            <w:tcW w:w="9060" w:type="dxa"/>
            <w:gridSpan w:val="2"/>
            <w:shd w:val="clear" w:color="auto" w:fill="C2E3EC"/>
          </w:tcPr>
          <w:p w14:paraId="06EE90B9" w14:textId="343CE8EE" w:rsidR="002372B3" w:rsidRPr="006739CB" w:rsidRDefault="002372B3" w:rsidP="00732EFD">
            <w:pPr>
              <w:pStyle w:val="RTOWorksTableHeader"/>
            </w:pPr>
            <w:r w:rsidRPr="006739CB">
              <w:t>4</w:t>
            </w:r>
            <w:r w:rsidR="00732EFD">
              <w:t xml:space="preserve">. </w:t>
            </w:r>
            <w:r w:rsidRPr="006739CB">
              <w:t>Notify of provider default</w:t>
            </w:r>
          </w:p>
        </w:tc>
      </w:tr>
      <w:tr w:rsidR="009B5661" w:rsidRPr="006739CB" w14:paraId="7EBFE4A8" w14:textId="77777777" w:rsidTr="00732EFD">
        <w:trPr>
          <w:trHeight w:val="20"/>
        </w:trPr>
        <w:tc>
          <w:tcPr>
            <w:tcW w:w="709" w:type="dxa"/>
          </w:tcPr>
          <w:p w14:paraId="7B776BFE" w14:textId="77777777" w:rsidR="009B5661" w:rsidRPr="006739CB" w:rsidRDefault="009B5661" w:rsidP="009B5661">
            <w:pPr>
              <w:pStyle w:val="RTOWorksBodyText"/>
              <w:jc w:val="right"/>
            </w:pPr>
            <w:r w:rsidRPr="006739CB">
              <w:t>4.1</w:t>
            </w:r>
          </w:p>
        </w:tc>
        <w:tc>
          <w:tcPr>
            <w:tcW w:w="8351" w:type="dxa"/>
          </w:tcPr>
          <w:p w14:paraId="2F76E1C4" w14:textId="7A0BFB2B" w:rsidR="009B5661" w:rsidRPr="006739CB" w:rsidRDefault="009B5661" w:rsidP="009B5661">
            <w:pPr>
              <w:pStyle w:val="RTOWorksBodyText"/>
            </w:pPr>
            <w:r w:rsidRPr="002B5912">
              <w:rPr>
                <w:szCs w:val="18"/>
              </w:rPr>
              <w:t xml:space="preserve">In relation to provider default, notify in writing ASQA and the TPS of the default within 3 working days of it occurring using the Notice of Provider default form. </w:t>
            </w:r>
          </w:p>
        </w:tc>
      </w:tr>
      <w:tr w:rsidR="009B5661" w:rsidRPr="006739CB" w14:paraId="1A13B284" w14:textId="77777777" w:rsidTr="00732EFD">
        <w:trPr>
          <w:trHeight w:val="20"/>
        </w:trPr>
        <w:tc>
          <w:tcPr>
            <w:tcW w:w="709" w:type="dxa"/>
          </w:tcPr>
          <w:p w14:paraId="22B3F3AC" w14:textId="77777777" w:rsidR="009B5661" w:rsidRPr="006739CB" w:rsidRDefault="009B5661" w:rsidP="009B5661">
            <w:pPr>
              <w:pStyle w:val="RTOWorksBodyText"/>
              <w:jc w:val="right"/>
            </w:pPr>
            <w:r w:rsidRPr="006739CB">
              <w:t>4.2</w:t>
            </w:r>
          </w:p>
        </w:tc>
        <w:tc>
          <w:tcPr>
            <w:tcW w:w="8351" w:type="dxa"/>
          </w:tcPr>
          <w:p w14:paraId="6C97E406" w14:textId="40DF9CAF" w:rsidR="009B5661" w:rsidRPr="006739CB" w:rsidRDefault="009B5661" w:rsidP="009B5661">
            <w:pPr>
              <w:pStyle w:val="RTOWorksBodyText"/>
              <w:rPr>
                <w:color w:val="000000" w:themeColor="text1"/>
              </w:rPr>
            </w:pPr>
            <w:r w:rsidRPr="000A5A34">
              <w:rPr>
                <w:szCs w:val="18"/>
              </w:rPr>
              <w:t xml:space="preserve">Submit a Notice of Discharge of Obligations to ASQA and the TPS advising of the actions taking and within 7 days of completing all required actions. </w:t>
            </w:r>
          </w:p>
        </w:tc>
      </w:tr>
      <w:tr w:rsidR="009B5661" w:rsidRPr="00944725" w14:paraId="7B325E01" w14:textId="77777777" w:rsidTr="00732EFD">
        <w:trPr>
          <w:trHeight w:val="20"/>
        </w:trPr>
        <w:tc>
          <w:tcPr>
            <w:tcW w:w="709" w:type="dxa"/>
          </w:tcPr>
          <w:p w14:paraId="00B44102" w14:textId="77777777" w:rsidR="009B5661" w:rsidRPr="00944725" w:rsidRDefault="009B5661" w:rsidP="009B5661">
            <w:pPr>
              <w:pStyle w:val="RTOWorksBodyText"/>
              <w:jc w:val="right"/>
            </w:pPr>
            <w:r w:rsidRPr="00944725">
              <w:t>4.3</w:t>
            </w:r>
          </w:p>
        </w:tc>
        <w:tc>
          <w:tcPr>
            <w:tcW w:w="8351" w:type="dxa"/>
          </w:tcPr>
          <w:p w14:paraId="1E2E8F0B" w14:textId="2DE9C22C" w:rsidR="009B5661" w:rsidRPr="00944725" w:rsidRDefault="009B5661" w:rsidP="009B5661">
            <w:pPr>
              <w:pStyle w:val="RTOWorksBodyText"/>
              <w:rPr>
                <w:szCs w:val="18"/>
              </w:rPr>
            </w:pPr>
            <w:r w:rsidRPr="00944725">
              <w:rPr>
                <w:szCs w:val="18"/>
              </w:rPr>
              <w:t xml:space="preserve">In relation to provider default, notify in writing to ASQA and the TPS of the default within 3 working days of it occurring using the Notice of Provider default form. </w:t>
            </w:r>
          </w:p>
        </w:tc>
      </w:tr>
    </w:tbl>
    <w:p w14:paraId="564D3CDE" w14:textId="0012698E" w:rsidR="0069044F" w:rsidRPr="00944725" w:rsidRDefault="0069044F" w:rsidP="000C792C">
      <w:pPr>
        <w:pStyle w:val="RTOWorksBodyText"/>
      </w:pPr>
    </w:p>
    <w:tbl>
      <w:tblPr>
        <w:tblStyle w:val="TableGrid"/>
        <w:tblW w:w="0" w:type="auto"/>
        <w:tblLook w:val="04A0" w:firstRow="1" w:lastRow="0" w:firstColumn="1" w:lastColumn="0" w:noHBand="0" w:noVBand="1"/>
      </w:tblPr>
      <w:tblGrid>
        <w:gridCol w:w="9060"/>
      </w:tblGrid>
      <w:tr w:rsidR="009C0F93" w:rsidRPr="00944725" w14:paraId="702D8BD2" w14:textId="77777777" w:rsidTr="009C0F93">
        <w:tc>
          <w:tcPr>
            <w:tcW w:w="9060" w:type="dxa"/>
            <w:tcBorders>
              <w:top w:val="nil"/>
              <w:left w:val="nil"/>
              <w:bottom w:val="nil"/>
              <w:right w:val="nil"/>
            </w:tcBorders>
            <w:shd w:val="clear" w:color="auto" w:fill="C2E3EC"/>
          </w:tcPr>
          <w:p w14:paraId="3F45B495" w14:textId="0C981FB2" w:rsidR="009C0F93" w:rsidRPr="00944725" w:rsidRDefault="009C0F93" w:rsidP="009C0F93">
            <w:pPr>
              <w:pStyle w:val="RTOWorksTableHeader"/>
            </w:pPr>
            <w:r w:rsidRPr="00944725">
              <w:t xml:space="preserve">RESPONSIBILITIES </w:t>
            </w:r>
          </w:p>
        </w:tc>
      </w:tr>
    </w:tbl>
    <w:p w14:paraId="6AF0A49A" w14:textId="77777777" w:rsidR="00CD3AA4" w:rsidRPr="00944725" w:rsidRDefault="00CD3AA4" w:rsidP="00CD3AA4">
      <w:pPr>
        <w:pStyle w:val="RTOWorksBodyText"/>
      </w:pPr>
      <w:r w:rsidRPr="00944725">
        <w:t xml:space="preserve">The Administration and Student Support Officer </w:t>
      </w:r>
      <w:proofErr w:type="gramStart"/>
      <w:r w:rsidRPr="00944725">
        <w:t>is</w:t>
      </w:r>
      <w:proofErr w:type="gramEnd"/>
      <w:r w:rsidRPr="00944725">
        <w:t xml:space="preserve"> responsible for issuing invoices, following up on overdue fees and issuing warning letters and a cancellation notice for non-payment of fees and issuing refunds.</w:t>
      </w:r>
    </w:p>
    <w:p w14:paraId="2CE7A3A7" w14:textId="77777777" w:rsidR="00CD3AA4" w:rsidRPr="00944725" w:rsidRDefault="00CD3AA4" w:rsidP="00CD3AA4">
      <w:pPr>
        <w:pStyle w:val="RTOWorksBodyText"/>
      </w:pPr>
      <w:r w:rsidRPr="00944725">
        <w:t xml:space="preserve">The RTO Manager is responsible for discussing and adjusting student financial arrangements if required, assessing refund applications and approving refund payments. </w:t>
      </w:r>
    </w:p>
    <w:p w14:paraId="2804B596" w14:textId="643167A9" w:rsidR="004B413F" w:rsidRDefault="00CD3AA4" w:rsidP="004B413F">
      <w:pPr>
        <w:pStyle w:val="RTOWorksBodyText"/>
      </w:pPr>
      <w:r w:rsidRPr="00944725">
        <w:t>The CEO is responsible for provider default notification.</w:t>
      </w:r>
      <w:r w:rsidRPr="002B5912">
        <w:t xml:space="preserve">  </w:t>
      </w:r>
    </w:p>
    <w:p w14:paraId="6EB923BD" w14:textId="4FB1AAB9" w:rsidR="0069044F" w:rsidRPr="006739CB" w:rsidRDefault="004B413F" w:rsidP="00AA11AB">
      <w:pPr>
        <w:spacing w:after="160" w:line="259" w:lineRule="auto"/>
      </w:pPr>
      <w:r>
        <w:br w:type="page"/>
      </w:r>
    </w:p>
    <w:p w14:paraId="4F9CF5EE" w14:textId="71DAC94E" w:rsidR="0069044F" w:rsidRPr="006739CB" w:rsidRDefault="0069044F" w:rsidP="0069044F">
      <w:pPr>
        <w:pStyle w:val="RTOWorksHeading1"/>
      </w:pPr>
      <w:bookmarkStart w:id="10" w:name="_Toc101414833"/>
      <w:bookmarkStart w:id="11" w:name="_Toc129587566"/>
      <w:bookmarkStart w:id="12" w:name="_Toc192508731"/>
      <w:bookmarkStart w:id="13" w:name="_Toc203050286"/>
      <w:r w:rsidRPr="006739CB">
        <w:t xml:space="preserve">Approvals and </w:t>
      </w:r>
      <w:r w:rsidR="00BE1835">
        <w:t>D</w:t>
      </w:r>
      <w:r w:rsidRPr="006739CB">
        <w:t xml:space="preserve">ocument </w:t>
      </w:r>
      <w:r w:rsidR="00BE1835">
        <w:t>C</w:t>
      </w:r>
      <w:r w:rsidRPr="006739CB">
        <w:t>ontrol</w:t>
      </w:r>
      <w:bookmarkEnd w:id="10"/>
      <w:bookmarkEnd w:id="11"/>
      <w:bookmarkEnd w:id="12"/>
      <w:bookmarkEnd w:id="13"/>
    </w:p>
    <w:p w14:paraId="5393976F" w14:textId="2C171B09" w:rsidR="0069044F" w:rsidRDefault="0069044F" w:rsidP="003B41F7">
      <w:pPr>
        <w:pStyle w:val="RTOWorksBodyText"/>
        <w:spacing w:after="360"/>
      </w:pPr>
      <w:r w:rsidRPr="00AA11AB">
        <w:t xml:space="preserve">This set of policies and procedures has been purchased under a licence agreement with RTO Works and has been reviewed and customised to suit </w:t>
      </w:r>
      <w:r w:rsidR="004F797A" w:rsidRPr="00AA11AB">
        <w:t>National Institute of Science</w:t>
      </w:r>
      <w:r w:rsidRPr="00AA11AB">
        <w:t>’s specific requirements</w:t>
      </w:r>
      <w:r w:rsidRPr="006739CB">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14:paraId="207A2324" w14:textId="77777777" w:rsidTr="00AA11AB">
        <w:tc>
          <w:tcPr>
            <w:tcW w:w="2835" w:type="dxa"/>
            <w:shd w:val="clear" w:color="auto" w:fill="1F4E79" w:themeFill="accent5" w:themeFillShade="80"/>
            <w:vAlign w:val="center"/>
          </w:tcPr>
          <w:p w14:paraId="17A55470" w14:textId="25B6D76A" w:rsidR="00AB506D" w:rsidRPr="00AA11AB" w:rsidRDefault="00AB506D" w:rsidP="008C18FA">
            <w:pPr>
              <w:pStyle w:val="RTOWorksTableHeader"/>
              <w:rPr>
                <w:color w:val="FFFFFF" w:themeColor="background1"/>
              </w:rPr>
            </w:pPr>
            <w:r w:rsidRPr="00AA11AB">
              <w:rPr>
                <w:color w:val="FFFFFF" w:themeColor="background1"/>
              </w:rPr>
              <w:t>Version number:</w:t>
            </w:r>
          </w:p>
        </w:tc>
        <w:tc>
          <w:tcPr>
            <w:tcW w:w="6225" w:type="dxa"/>
            <w:vAlign w:val="center"/>
          </w:tcPr>
          <w:p w14:paraId="3CA4FC91" w14:textId="27BC402E" w:rsidR="00AB506D" w:rsidRDefault="00AB506D" w:rsidP="00AB506D">
            <w:pPr>
              <w:pStyle w:val="RTOWorksBodyText"/>
            </w:pPr>
            <w:r w:rsidRPr="006739CB">
              <w:t>V</w:t>
            </w:r>
            <w:r w:rsidR="00AA11AB">
              <w:t>3</w:t>
            </w:r>
            <w:r w:rsidRPr="006739CB">
              <w:t>.</w:t>
            </w:r>
            <w:r w:rsidR="00AA11AB">
              <w:t>1</w:t>
            </w:r>
          </w:p>
        </w:tc>
      </w:tr>
      <w:tr w:rsidR="00AB506D" w14:paraId="5231F546" w14:textId="77777777" w:rsidTr="00AA11AB">
        <w:tc>
          <w:tcPr>
            <w:tcW w:w="2835" w:type="dxa"/>
            <w:shd w:val="clear" w:color="auto" w:fill="1F4E79" w:themeFill="accent5" w:themeFillShade="80"/>
            <w:vAlign w:val="center"/>
          </w:tcPr>
          <w:p w14:paraId="08A2D51A" w14:textId="3A74663D" w:rsidR="00AB506D" w:rsidRPr="00AA11AB" w:rsidRDefault="00AB506D" w:rsidP="008C18FA">
            <w:pPr>
              <w:pStyle w:val="RTOWorksTableHeader"/>
              <w:rPr>
                <w:color w:val="FFFFFF" w:themeColor="background1"/>
              </w:rPr>
            </w:pPr>
            <w:r w:rsidRPr="00AA11AB">
              <w:rPr>
                <w:color w:val="FFFFFF" w:themeColor="background1"/>
              </w:rPr>
              <w:t>Status:</w:t>
            </w:r>
          </w:p>
        </w:tc>
        <w:tc>
          <w:tcPr>
            <w:tcW w:w="6225" w:type="dxa"/>
            <w:vAlign w:val="center"/>
          </w:tcPr>
          <w:p w14:paraId="69D602AF" w14:textId="352DAF75" w:rsidR="00AB506D" w:rsidRDefault="00AB506D" w:rsidP="00AB506D">
            <w:pPr>
              <w:pStyle w:val="RTOWorksBodyText"/>
            </w:pPr>
            <w:r w:rsidRPr="00AA11AB">
              <w:t>Approved</w:t>
            </w:r>
          </w:p>
        </w:tc>
      </w:tr>
      <w:tr w:rsidR="00AB506D" w14:paraId="7A95BA8A" w14:textId="77777777" w:rsidTr="00AA11AB">
        <w:tc>
          <w:tcPr>
            <w:tcW w:w="2835" w:type="dxa"/>
            <w:shd w:val="clear" w:color="auto" w:fill="1F4E79" w:themeFill="accent5" w:themeFillShade="80"/>
            <w:vAlign w:val="center"/>
          </w:tcPr>
          <w:p w14:paraId="619B6860" w14:textId="22930324" w:rsidR="00AB506D" w:rsidRPr="00AA11AB" w:rsidRDefault="00AB506D" w:rsidP="008C18FA">
            <w:pPr>
              <w:pStyle w:val="RTOWorksTableHeader"/>
              <w:rPr>
                <w:color w:val="FFFFFF" w:themeColor="background1"/>
              </w:rPr>
            </w:pPr>
            <w:r w:rsidRPr="00AA11AB">
              <w:rPr>
                <w:color w:val="FFFFFF" w:themeColor="background1"/>
              </w:rPr>
              <w:t>Approved by:</w:t>
            </w:r>
          </w:p>
        </w:tc>
        <w:tc>
          <w:tcPr>
            <w:tcW w:w="6225" w:type="dxa"/>
            <w:vAlign w:val="center"/>
          </w:tcPr>
          <w:p w14:paraId="220024EF" w14:textId="7CEC4F05" w:rsidR="00AB506D" w:rsidRDefault="00AB506D" w:rsidP="00AB506D">
            <w:pPr>
              <w:pStyle w:val="RTOWorksBodyText"/>
            </w:pPr>
            <w:r w:rsidRPr="006739CB">
              <w:t>CEO</w:t>
            </w:r>
          </w:p>
        </w:tc>
      </w:tr>
      <w:tr w:rsidR="00AB506D" w14:paraId="20CA69A4" w14:textId="77777777" w:rsidTr="00AA11AB">
        <w:tc>
          <w:tcPr>
            <w:tcW w:w="2835" w:type="dxa"/>
            <w:shd w:val="clear" w:color="auto" w:fill="1F4E79" w:themeFill="accent5" w:themeFillShade="80"/>
            <w:vAlign w:val="center"/>
          </w:tcPr>
          <w:p w14:paraId="5D22388B" w14:textId="340647C6" w:rsidR="00AB506D" w:rsidRPr="00AA11AB" w:rsidRDefault="00AB506D" w:rsidP="008C18FA">
            <w:pPr>
              <w:pStyle w:val="RTOWorksTableHeader"/>
              <w:rPr>
                <w:color w:val="FFFFFF" w:themeColor="background1"/>
              </w:rPr>
            </w:pPr>
            <w:r w:rsidRPr="00AA11AB">
              <w:rPr>
                <w:color w:val="FFFFFF" w:themeColor="background1"/>
              </w:rPr>
              <w:t>Approval signature</w:t>
            </w:r>
            <w:r w:rsidR="008259CC" w:rsidRPr="00AA11AB">
              <w:rPr>
                <w:color w:val="FFFFFF" w:themeColor="background1"/>
              </w:rPr>
              <w:t>:</w:t>
            </w:r>
          </w:p>
        </w:tc>
        <w:tc>
          <w:tcPr>
            <w:tcW w:w="6225" w:type="dxa"/>
            <w:vAlign w:val="center"/>
          </w:tcPr>
          <w:p w14:paraId="04E00271" w14:textId="6B1B26F8" w:rsidR="00AB506D" w:rsidRDefault="00AA11AB" w:rsidP="00AB506D">
            <w:pPr>
              <w:pStyle w:val="RTOWorksBodyText"/>
            </w:pPr>
            <w:proofErr w:type="spellStart"/>
            <w:r w:rsidRPr="00AA11AB">
              <w:t>Khero</w:t>
            </w:r>
            <w:proofErr w:type="spellEnd"/>
            <w:r w:rsidRPr="00AA11AB">
              <w:t xml:space="preserve"> Afzal</w:t>
            </w:r>
          </w:p>
        </w:tc>
      </w:tr>
      <w:tr w:rsidR="00AB506D" w14:paraId="6ADA55B8" w14:textId="77777777" w:rsidTr="00AA11AB">
        <w:tc>
          <w:tcPr>
            <w:tcW w:w="2835" w:type="dxa"/>
            <w:shd w:val="clear" w:color="auto" w:fill="1F4E79" w:themeFill="accent5" w:themeFillShade="80"/>
            <w:vAlign w:val="center"/>
          </w:tcPr>
          <w:p w14:paraId="10438216" w14:textId="0F346E48" w:rsidR="00AB506D" w:rsidRPr="00AA11AB" w:rsidRDefault="00AB506D" w:rsidP="008C18FA">
            <w:pPr>
              <w:pStyle w:val="RTOWorksTableHeader"/>
              <w:rPr>
                <w:color w:val="FFFFFF" w:themeColor="background1"/>
              </w:rPr>
            </w:pPr>
            <w:r w:rsidRPr="00AA11AB">
              <w:rPr>
                <w:color w:val="FFFFFF" w:themeColor="background1"/>
              </w:rPr>
              <w:t>Approval date:</w:t>
            </w:r>
          </w:p>
        </w:tc>
        <w:tc>
          <w:tcPr>
            <w:tcW w:w="6225" w:type="dxa"/>
            <w:vAlign w:val="center"/>
          </w:tcPr>
          <w:p w14:paraId="08E240BD" w14:textId="1C499949" w:rsidR="00AB506D" w:rsidRDefault="00AA11AB" w:rsidP="00AB506D">
            <w:pPr>
              <w:pStyle w:val="RTOWorksBodyText"/>
            </w:pPr>
            <w:r>
              <w:t>12/09/2025</w:t>
            </w:r>
          </w:p>
        </w:tc>
      </w:tr>
      <w:tr w:rsidR="00AB506D" w14:paraId="141BDC34" w14:textId="77777777" w:rsidTr="00AA11AB">
        <w:tc>
          <w:tcPr>
            <w:tcW w:w="2835" w:type="dxa"/>
            <w:shd w:val="clear" w:color="auto" w:fill="1F4E79" w:themeFill="accent5" w:themeFillShade="80"/>
            <w:vAlign w:val="center"/>
          </w:tcPr>
          <w:p w14:paraId="5517637C" w14:textId="25D86852" w:rsidR="00AB506D" w:rsidRPr="00AA11AB" w:rsidRDefault="00AB506D" w:rsidP="008C18FA">
            <w:pPr>
              <w:pStyle w:val="RTOWorksTableHeader"/>
              <w:rPr>
                <w:color w:val="FFFFFF" w:themeColor="background1"/>
              </w:rPr>
            </w:pPr>
            <w:r w:rsidRPr="00AA11AB">
              <w:rPr>
                <w:color w:val="FFFFFF" w:themeColor="background1"/>
              </w:rPr>
              <w:t>Review date:</w:t>
            </w:r>
          </w:p>
        </w:tc>
        <w:tc>
          <w:tcPr>
            <w:tcW w:w="6225" w:type="dxa"/>
            <w:vAlign w:val="center"/>
          </w:tcPr>
          <w:p w14:paraId="7D507EC2" w14:textId="47442B34" w:rsidR="00AB506D" w:rsidRDefault="00AA11AB" w:rsidP="00AB506D">
            <w:pPr>
              <w:pStyle w:val="RTOWorksBodyText"/>
            </w:pPr>
            <w:r>
              <w:t>Sep 2026</w:t>
            </w:r>
          </w:p>
        </w:tc>
      </w:tr>
      <w:bookmarkEnd w:id="7"/>
      <w:bookmarkEnd w:id="8"/>
      <w:bookmarkEnd w:id="9"/>
    </w:tbl>
    <w:p w14:paraId="7A1DB6D9" w14:textId="41946893" w:rsidR="0069044F" w:rsidRPr="006739CB" w:rsidRDefault="0069044F" w:rsidP="008F18CB">
      <w:pPr>
        <w:pStyle w:val="RTOWorksBodyText"/>
      </w:pPr>
    </w:p>
    <w:sectPr w:rsidR="0069044F" w:rsidRPr="006739CB" w:rsidSect="009466C6">
      <w:footerReference w:type="default" r:id="rId13"/>
      <w:pgSz w:w="11906" w:h="16838"/>
      <w:pgMar w:top="1559"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658F" w14:textId="77777777" w:rsidR="00B614D6" w:rsidRDefault="00B614D6" w:rsidP="00394897">
      <w:r>
        <w:separator/>
      </w:r>
    </w:p>
  </w:endnote>
  <w:endnote w:type="continuationSeparator" w:id="0">
    <w:p w14:paraId="30AA4E0A" w14:textId="77777777" w:rsidR="00B614D6" w:rsidRDefault="00B614D6" w:rsidP="00394897">
      <w:r>
        <w:continuationSeparator/>
      </w:r>
    </w:p>
  </w:endnote>
  <w:endnote w:type="continuationNotice" w:id="1">
    <w:p w14:paraId="3348CD19" w14:textId="77777777" w:rsidR="00B614D6" w:rsidRDefault="00B61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74586F1F"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A11AB">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A11AB">
      <w:rPr>
        <w:color w:val="000000" w:themeColor="text1"/>
      </w:rPr>
      <w:t>04328K</w:t>
    </w:r>
    <w:r w:rsidR="003B52DB" w:rsidRPr="00BD58EB">
      <w:rPr>
        <w:rStyle w:val="FooterChar"/>
        <w:color w:val="000000" w:themeColor="text1"/>
      </w:rPr>
      <w:t xml:space="preserve"> </w:t>
    </w:r>
  </w:p>
  <w:p w14:paraId="352516F0" w14:textId="42DC1DAA" w:rsidR="00427752" w:rsidRPr="00BD58EB" w:rsidRDefault="00AA11AB" w:rsidP="00532344">
    <w:pPr>
      <w:pStyle w:val="Footer"/>
      <w:rPr>
        <w:color w:val="000000" w:themeColor="text1"/>
      </w:rPr>
    </w:pPr>
    <w:r w:rsidRPr="00AA11AB">
      <w:rPr>
        <w:rStyle w:val="FooterChar"/>
        <w:color w:val="000000" w:themeColor="text1"/>
      </w:rPr>
      <w:t>FEES AND REFUNDS POLICY AND ASSOCIATED PROCEDURES</w:t>
    </w:r>
    <w:r>
      <w:rPr>
        <w:rStyle w:val="FooterChar"/>
        <w:color w:val="000000" w:themeColor="text1"/>
      </w:rPr>
      <w:t xml:space="preserve"> V3.1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FFEF" w14:textId="77777777" w:rsidR="00B614D6" w:rsidRDefault="00B614D6" w:rsidP="00394897">
      <w:r>
        <w:separator/>
      </w:r>
    </w:p>
  </w:footnote>
  <w:footnote w:type="continuationSeparator" w:id="0">
    <w:p w14:paraId="0F280739" w14:textId="77777777" w:rsidR="00B614D6" w:rsidRDefault="00B614D6" w:rsidP="00394897">
      <w:r>
        <w:continuationSeparator/>
      </w:r>
    </w:p>
  </w:footnote>
  <w:footnote w:type="continuationNotice" w:id="1">
    <w:p w14:paraId="44EE4960" w14:textId="77777777" w:rsidR="00B614D6" w:rsidRDefault="00B614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B08FD"/>
    <w:rsid w:val="000B1408"/>
    <w:rsid w:val="000B1E73"/>
    <w:rsid w:val="000B208B"/>
    <w:rsid w:val="000B26DD"/>
    <w:rsid w:val="000B2F34"/>
    <w:rsid w:val="000B3066"/>
    <w:rsid w:val="000B335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725"/>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1AB"/>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14D6"/>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2.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3.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924DD-FBDD-40D6-ABEA-2F4F46749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3</cp:revision>
  <dcterms:created xsi:type="dcterms:W3CDTF">2025-09-12T07:37:00Z</dcterms:created>
  <dcterms:modified xsi:type="dcterms:W3CDTF">2025-09-12T07:39:00Z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